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091F" w:rsidRPr="00AB091F" w:rsidRDefault="00AB091F">
      <w:pPr>
        <w:rPr>
          <w:rFonts w:cs="Times New Roman (Body CS)"/>
          <w:b/>
          <w:bCs/>
          <w:caps/>
        </w:rPr>
      </w:pPr>
      <w:r w:rsidRPr="00AB091F">
        <w:rPr>
          <w:rFonts w:cs="Times New Roman (Body CS)"/>
          <w:b/>
          <w:bCs/>
          <w:caps/>
        </w:rPr>
        <w:t>GIVE THEM TIME RESPONSE TO NORTH LANARKSHIRE COUNCIL PAPER:</w:t>
      </w:r>
    </w:p>
    <w:p w:rsidR="00AB091F" w:rsidRPr="00AB091F" w:rsidRDefault="00AB091F">
      <w:pPr>
        <w:rPr>
          <w:rFonts w:cs="Times New Roman (Body CS)"/>
          <w:b/>
          <w:bCs/>
          <w:caps/>
        </w:rPr>
      </w:pPr>
    </w:p>
    <w:p w:rsidR="00CD187E" w:rsidRPr="00AB091F" w:rsidRDefault="00AB091F">
      <w:pPr>
        <w:rPr>
          <w:rFonts w:cs="Times New Roman (Body CS)"/>
          <w:b/>
          <w:bCs/>
          <w:caps/>
        </w:rPr>
      </w:pPr>
      <w:r w:rsidRPr="00AB091F">
        <w:rPr>
          <w:rFonts w:cs="Times New Roman (Body CS)"/>
          <w:b/>
          <w:bCs/>
          <w:caps/>
        </w:rPr>
        <w:t>Proposed revision of the Policy on Discretionary Deferral Arrangements for children entering primary school, 24/02/2020</w:t>
      </w:r>
    </w:p>
    <w:p w:rsidR="00AB091F" w:rsidRPr="00AB091F" w:rsidRDefault="00AB091F">
      <w:pPr>
        <w:rPr>
          <w:b/>
          <w:bCs/>
        </w:rPr>
      </w:pPr>
    </w:p>
    <w:p w:rsidR="00AB091F" w:rsidRPr="00AB091F" w:rsidRDefault="00AB091F">
      <w:pPr>
        <w:rPr>
          <w:b/>
          <w:bCs/>
        </w:rPr>
      </w:pPr>
      <w:r w:rsidRPr="00AB091F">
        <w:rPr>
          <w:b/>
          <w:bCs/>
        </w:rPr>
        <w:t>FOR ALL NLC COUNCILLORS</w:t>
      </w:r>
    </w:p>
    <w:p w:rsidR="00AB091F" w:rsidRDefault="00AB091F"/>
    <w:p w:rsidR="00DF7130" w:rsidRDefault="00DF7130"/>
    <w:p w:rsidR="00DF7130" w:rsidRPr="00DF7130" w:rsidRDefault="00DF7130">
      <w:pPr>
        <w:rPr>
          <w:b/>
          <w:bCs/>
        </w:rPr>
      </w:pPr>
      <w:r w:rsidRPr="00DF7130">
        <w:rPr>
          <w:b/>
          <w:bCs/>
        </w:rPr>
        <w:t>INTRODUCTION</w:t>
      </w:r>
    </w:p>
    <w:p w:rsidR="00DF7130" w:rsidRDefault="00DF7130"/>
    <w:p w:rsidR="00DF7130" w:rsidRDefault="00DF7130">
      <w:r>
        <w:t>This paper is the response of the Give Them Time campaign to the council’s above-named paper, for the full council meeting on Monday 24 February at 10am. Give Them Time became aware of this paper on the day on 20 February. Given the very short time available in order to ensure councillors had this information before the meeting, this is the best we were able to produce. Please accept our apologies for any errors or omissions.</w:t>
      </w:r>
    </w:p>
    <w:p w:rsidR="00AB091F" w:rsidRDefault="00AB091F"/>
    <w:p w:rsidR="00AB091F" w:rsidRDefault="00AB091F"/>
    <w:p w:rsidR="00AB091F" w:rsidRPr="00AB091F" w:rsidRDefault="00AB091F">
      <w:pPr>
        <w:rPr>
          <w:b/>
          <w:bCs/>
        </w:rPr>
      </w:pPr>
      <w:r w:rsidRPr="00AB091F">
        <w:rPr>
          <w:b/>
          <w:bCs/>
        </w:rPr>
        <w:t>PART ONE: FINANCIAL MATTER</w:t>
      </w:r>
      <w:r>
        <w:rPr>
          <w:b/>
          <w:bCs/>
        </w:rPr>
        <w:t>S</w:t>
      </w:r>
    </w:p>
    <w:p w:rsidR="00AB091F" w:rsidRDefault="00AB091F"/>
    <w:p w:rsidR="001C3E61" w:rsidRPr="00AB091F" w:rsidRDefault="00AB091F" w:rsidP="00AB091F">
      <w:pPr>
        <w:rPr>
          <w:b/>
          <w:bCs/>
        </w:rPr>
      </w:pPr>
      <w:r w:rsidRPr="00AB091F">
        <w:rPr>
          <w:b/>
          <w:bCs/>
        </w:rPr>
        <w:t>1.</w:t>
      </w:r>
      <w:r>
        <w:rPr>
          <w:b/>
          <w:bCs/>
        </w:rPr>
        <w:tab/>
      </w:r>
      <w:r w:rsidR="000F6F48" w:rsidRPr="00AB091F">
        <w:rPr>
          <w:b/>
          <w:bCs/>
        </w:rPr>
        <w:t>Inclusion of Jan-Feb cohort with Au</w:t>
      </w:r>
      <w:r w:rsidR="003E3BBE" w:rsidRPr="00AB091F">
        <w:rPr>
          <w:b/>
          <w:bCs/>
        </w:rPr>
        <w:t>g</w:t>
      </w:r>
      <w:r w:rsidR="000F6F48" w:rsidRPr="00AB091F">
        <w:rPr>
          <w:b/>
          <w:bCs/>
        </w:rPr>
        <w:t>-Dec cohort</w:t>
      </w:r>
    </w:p>
    <w:p w:rsidR="001C3E61" w:rsidRDefault="001C3E61"/>
    <w:p w:rsidR="001C3E61" w:rsidRDefault="001C3E61">
      <w:r>
        <w:t>The report includes the Jan-Feb deferrals in the calculations and considerations for the future. These children already have an automatic right to deferral and they are unaffected by the decision of 20 June 2019. Including them in the considerations gives an exaggerated view of the impacts of the decision.</w:t>
      </w:r>
      <w:r w:rsidR="00203FA5">
        <w:t xml:space="preserve"> The decision relates to children born Aug-Dec only, and only figures associated with that are relevant to the </w:t>
      </w:r>
      <w:r w:rsidR="00C30123">
        <w:t>discussion</w:t>
      </w:r>
      <w:r w:rsidR="00203FA5">
        <w:t>.</w:t>
      </w:r>
    </w:p>
    <w:p w:rsidR="00203FA5" w:rsidRDefault="00203FA5"/>
    <w:p w:rsidR="00F52951" w:rsidRDefault="00F52951">
      <w:r>
        <w:t xml:space="preserve">According to the figures provided in the paper, the deferral rate among the Jan-Feb cohort in 2019/20 was 35.35%, </w:t>
      </w:r>
      <w:r w:rsidR="00C30123">
        <w:t xml:space="preserve">incorporating 230 children, </w:t>
      </w:r>
      <w:r>
        <w:t>while the deferral rate among the Aug-Dec cohort was only 2.66%</w:t>
      </w:r>
      <w:r w:rsidR="00C30123">
        <w:t>, consisting of just 36 children</w:t>
      </w:r>
      <w:r>
        <w:t>. Clearly, it is highly inappropriate and misleading to combine the two cohorts and to assume that there would be an equal increase in the deferral rate between them.</w:t>
      </w:r>
    </w:p>
    <w:p w:rsidR="00F52951" w:rsidRDefault="00F52951"/>
    <w:p w:rsidR="00F52951" w:rsidRDefault="00F52951" w:rsidP="00F52951">
      <w:r>
        <w:t>This has important consequences for assumptions made in the paper. In the example given at 2.3.7 the Family Learning Centre is described as having 17 children eligible for deferral (Aug-Feb). It does not say how many are born Jan-Feb, and how many Aug-Dec. Assuming an even distribution of birthdays across the period, the actual additional number of eligible children (those born Aug-Dec) is approximately 12. It’s worth noting that, assuming a 60% increase in the deferral rate for Aug-Dec born children from the current 2.66% to 4.43%, the expected number of deferrals would increase from 0.32 to 0.53 – meaning there would be, on average, an additional one child getting a funded place in every five facilities of that size. This is unlikely to smash budgets apart.</w:t>
      </w:r>
    </w:p>
    <w:p w:rsidR="00F52951" w:rsidRDefault="00F52951"/>
    <w:p w:rsidR="00F52951" w:rsidRDefault="00F52951">
      <w:r>
        <w:t xml:space="preserve">Additionally, the decision of 20 June 2019 has absolutely no bearing on the Jan-Feb cohort. If there is an increase in the deferral rate among this group then it is one that would have happened regardless of the decision to change the policy for Aug-Dec children. Indeed, there was a significant increase in the rate for this cohort between the last two years, from </w:t>
      </w:r>
      <w:r>
        <w:lastRenderedPageBreak/>
        <w:t xml:space="preserve">22.60% to 35.33%. This rise is one that the local authority is obliged to fund as a matter of law and in considering whether to place a pause on the decision of 20 June 2019 this matter is no more relevant than any other statutory funding pressure on the council’s budget. </w:t>
      </w:r>
    </w:p>
    <w:p w:rsidR="00F52951" w:rsidRDefault="00F52951"/>
    <w:p w:rsidR="001C3E61" w:rsidRDefault="00F52951">
      <w:r>
        <w:t>The inclusion of the Jan-Feb cohort, who have had a long-standing statutory right to deferral, which is well-known among parents, skews the figures and causes the financial information to be highly exaggerated, as will be detailed below.</w:t>
      </w:r>
    </w:p>
    <w:p w:rsidR="00F52951" w:rsidRDefault="00F52951"/>
    <w:p w:rsidR="00761F3B" w:rsidRPr="003E3BBE" w:rsidRDefault="00AB091F">
      <w:pPr>
        <w:rPr>
          <w:b/>
          <w:bCs/>
        </w:rPr>
      </w:pPr>
      <w:r>
        <w:rPr>
          <w:b/>
          <w:bCs/>
        </w:rPr>
        <w:t>2.</w:t>
      </w:r>
      <w:r>
        <w:rPr>
          <w:b/>
          <w:bCs/>
        </w:rPr>
        <w:tab/>
      </w:r>
      <w:r w:rsidR="003E3BBE" w:rsidRPr="003E3BBE">
        <w:rPr>
          <w:b/>
          <w:bCs/>
        </w:rPr>
        <w:t>Evidence for estimated increased deferral</w:t>
      </w:r>
    </w:p>
    <w:p w:rsidR="003E3BBE" w:rsidRDefault="003E3BBE"/>
    <w:p w:rsidR="003E3BBE" w:rsidRDefault="003E3BBE">
      <w:r>
        <w:t xml:space="preserve">The only source of evidence provided for an estimate of an increase in deferral comes from Falkirk Council, where it is said that there has been a 60% increase in </w:t>
      </w:r>
      <w:r w:rsidR="00F52951">
        <w:t>deferral across the whole Aug-Feb cohort. No figures are supplied to support this evidence, no publicly available information is referenced and no breakdown is given for the</w:t>
      </w:r>
      <w:r w:rsidR="00545342">
        <w:t xml:space="preserve"> Aug-Dec cohort and the Jan-Feb cohort. This evidence is, at best, partial.</w:t>
      </w:r>
      <w:r w:rsidR="00F52951">
        <w:t xml:space="preserve"> </w:t>
      </w:r>
      <w:r w:rsidR="00C30123">
        <w:t>It also provides the highest possible figure for deferrals.</w:t>
      </w:r>
    </w:p>
    <w:p w:rsidR="003E3BBE" w:rsidRDefault="003E3BBE"/>
    <w:p w:rsidR="00545342" w:rsidRDefault="00545342">
      <w:r>
        <w:t xml:space="preserve">One source of evidence that councillors could consider is the number of applications made for deferral among the Aug-Dec cohort each year, as an indication of unmet demand. According to a Freedom of Information response provided to us by council officials the figures for approved and rejected application for deferral among this cohort </w:t>
      </w:r>
      <w:r w:rsidR="00C30123">
        <w:t>in North Lanarkshire we</w:t>
      </w:r>
      <w:r>
        <w:t>re:</w:t>
      </w:r>
    </w:p>
    <w:p w:rsidR="00545342" w:rsidRDefault="00545342"/>
    <w:p w:rsidR="00A7488C" w:rsidRPr="00A7488C" w:rsidRDefault="00A7488C">
      <w:pPr>
        <w:rPr>
          <w:i/>
          <w:iCs/>
        </w:rPr>
      </w:pPr>
      <w:r w:rsidRPr="00A7488C">
        <w:rPr>
          <w:i/>
          <w:iCs/>
        </w:rPr>
        <w:t>Table 1: Applications for discretionary deferral to North Lanarkshire Council, and disposals.</w:t>
      </w:r>
    </w:p>
    <w:p w:rsidR="00A7488C" w:rsidRDefault="00A7488C"/>
    <w:tbl>
      <w:tblPr>
        <w:tblW w:w="7220" w:type="dxa"/>
        <w:tblLook w:val="04A0" w:firstRow="1" w:lastRow="0" w:firstColumn="1" w:lastColumn="0" w:noHBand="0" w:noVBand="1"/>
      </w:tblPr>
      <w:tblGrid>
        <w:gridCol w:w="1049"/>
        <w:gridCol w:w="1500"/>
        <w:gridCol w:w="1500"/>
        <w:gridCol w:w="1500"/>
        <w:gridCol w:w="1671"/>
      </w:tblGrid>
      <w:tr w:rsidR="00545342" w:rsidRPr="00545342" w:rsidTr="00545342">
        <w:trPr>
          <w:trHeight w:val="340"/>
        </w:trPr>
        <w:tc>
          <w:tcPr>
            <w:tcW w:w="1049"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Year</w:t>
            </w:r>
          </w:p>
        </w:tc>
        <w:tc>
          <w:tcPr>
            <w:tcW w:w="1500" w:type="dxa"/>
            <w:tcBorders>
              <w:top w:val="single" w:sz="8" w:space="0" w:color="auto"/>
              <w:left w:val="nil"/>
              <w:bottom w:val="nil"/>
              <w:right w:val="single" w:sz="4" w:space="0" w:color="auto"/>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Applications</w:t>
            </w:r>
          </w:p>
        </w:tc>
        <w:tc>
          <w:tcPr>
            <w:tcW w:w="1500" w:type="dxa"/>
            <w:tcBorders>
              <w:top w:val="single" w:sz="8" w:space="0" w:color="auto"/>
              <w:left w:val="nil"/>
              <w:bottom w:val="nil"/>
              <w:right w:val="single" w:sz="4" w:space="0" w:color="auto"/>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Approved</w:t>
            </w:r>
          </w:p>
        </w:tc>
        <w:tc>
          <w:tcPr>
            <w:tcW w:w="1500" w:type="dxa"/>
            <w:tcBorders>
              <w:top w:val="single" w:sz="8" w:space="0" w:color="auto"/>
              <w:left w:val="nil"/>
              <w:bottom w:val="nil"/>
              <w:right w:val="single" w:sz="4" w:space="0" w:color="auto"/>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Rejected</w:t>
            </w:r>
          </w:p>
        </w:tc>
        <w:tc>
          <w:tcPr>
            <w:tcW w:w="1671" w:type="dxa"/>
            <w:tcBorders>
              <w:top w:val="single" w:sz="8" w:space="0" w:color="auto"/>
              <w:left w:val="nil"/>
              <w:bottom w:val="nil"/>
              <w:right w:val="single" w:sz="8" w:space="0" w:color="auto"/>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Approval Rate</w:t>
            </w:r>
          </w:p>
        </w:tc>
      </w:tr>
      <w:tr w:rsidR="00545342" w:rsidRPr="00545342" w:rsidTr="00545342">
        <w:trPr>
          <w:trHeight w:val="320"/>
        </w:trPr>
        <w:tc>
          <w:tcPr>
            <w:tcW w:w="1049" w:type="dxa"/>
            <w:tcBorders>
              <w:top w:val="nil"/>
              <w:left w:val="single" w:sz="8" w:space="0" w:color="auto"/>
              <w:bottom w:val="single" w:sz="4" w:space="0" w:color="auto"/>
              <w:right w:val="nil"/>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2013/14</w:t>
            </w:r>
          </w:p>
        </w:tc>
        <w:tc>
          <w:tcPr>
            <w:tcW w:w="150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23</w:t>
            </w:r>
          </w:p>
        </w:tc>
        <w:tc>
          <w:tcPr>
            <w:tcW w:w="1500" w:type="dxa"/>
            <w:tcBorders>
              <w:top w:val="single" w:sz="8" w:space="0" w:color="auto"/>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17</w:t>
            </w:r>
          </w:p>
        </w:tc>
        <w:tc>
          <w:tcPr>
            <w:tcW w:w="1500" w:type="dxa"/>
            <w:tcBorders>
              <w:top w:val="single" w:sz="8" w:space="0" w:color="auto"/>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6</w:t>
            </w:r>
          </w:p>
        </w:tc>
        <w:tc>
          <w:tcPr>
            <w:tcW w:w="1671" w:type="dxa"/>
            <w:tcBorders>
              <w:top w:val="single" w:sz="8" w:space="0" w:color="auto"/>
              <w:left w:val="nil"/>
              <w:bottom w:val="single" w:sz="4" w:space="0" w:color="auto"/>
              <w:right w:val="single" w:sz="8"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74%</w:t>
            </w:r>
          </w:p>
        </w:tc>
      </w:tr>
      <w:tr w:rsidR="00545342" w:rsidRPr="00545342" w:rsidTr="00545342">
        <w:trPr>
          <w:trHeight w:val="320"/>
        </w:trPr>
        <w:tc>
          <w:tcPr>
            <w:tcW w:w="1049" w:type="dxa"/>
            <w:tcBorders>
              <w:top w:val="nil"/>
              <w:left w:val="single" w:sz="8" w:space="0" w:color="auto"/>
              <w:bottom w:val="single" w:sz="4" w:space="0" w:color="auto"/>
              <w:right w:val="nil"/>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2014/15</w:t>
            </w:r>
          </w:p>
        </w:tc>
        <w:tc>
          <w:tcPr>
            <w:tcW w:w="1500" w:type="dxa"/>
            <w:tcBorders>
              <w:top w:val="nil"/>
              <w:left w:val="single" w:sz="8" w:space="0" w:color="auto"/>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17</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14</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3</w:t>
            </w:r>
          </w:p>
        </w:tc>
        <w:tc>
          <w:tcPr>
            <w:tcW w:w="1671" w:type="dxa"/>
            <w:tcBorders>
              <w:top w:val="nil"/>
              <w:left w:val="nil"/>
              <w:bottom w:val="single" w:sz="4" w:space="0" w:color="auto"/>
              <w:right w:val="single" w:sz="8"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82%</w:t>
            </w:r>
          </w:p>
        </w:tc>
      </w:tr>
      <w:tr w:rsidR="00545342" w:rsidRPr="00545342" w:rsidTr="00545342">
        <w:trPr>
          <w:trHeight w:val="320"/>
        </w:trPr>
        <w:tc>
          <w:tcPr>
            <w:tcW w:w="1049" w:type="dxa"/>
            <w:tcBorders>
              <w:top w:val="nil"/>
              <w:left w:val="single" w:sz="8" w:space="0" w:color="auto"/>
              <w:bottom w:val="single" w:sz="4" w:space="0" w:color="auto"/>
              <w:right w:val="nil"/>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2015/16</w:t>
            </w:r>
          </w:p>
        </w:tc>
        <w:tc>
          <w:tcPr>
            <w:tcW w:w="1500" w:type="dxa"/>
            <w:tcBorders>
              <w:top w:val="nil"/>
              <w:left w:val="single" w:sz="8" w:space="0" w:color="auto"/>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23</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15</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8</w:t>
            </w:r>
          </w:p>
        </w:tc>
        <w:tc>
          <w:tcPr>
            <w:tcW w:w="1671" w:type="dxa"/>
            <w:tcBorders>
              <w:top w:val="nil"/>
              <w:left w:val="nil"/>
              <w:bottom w:val="single" w:sz="4" w:space="0" w:color="auto"/>
              <w:right w:val="single" w:sz="8"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65%</w:t>
            </w:r>
          </w:p>
        </w:tc>
      </w:tr>
      <w:tr w:rsidR="00545342" w:rsidRPr="00545342" w:rsidTr="00545342">
        <w:trPr>
          <w:trHeight w:val="320"/>
        </w:trPr>
        <w:tc>
          <w:tcPr>
            <w:tcW w:w="1049" w:type="dxa"/>
            <w:tcBorders>
              <w:top w:val="nil"/>
              <w:left w:val="single" w:sz="8" w:space="0" w:color="auto"/>
              <w:bottom w:val="single" w:sz="4" w:space="0" w:color="auto"/>
              <w:right w:val="nil"/>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2016/17</w:t>
            </w:r>
          </w:p>
        </w:tc>
        <w:tc>
          <w:tcPr>
            <w:tcW w:w="1500" w:type="dxa"/>
            <w:tcBorders>
              <w:top w:val="nil"/>
              <w:left w:val="single" w:sz="8" w:space="0" w:color="auto"/>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25</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23</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2</w:t>
            </w:r>
          </w:p>
        </w:tc>
        <w:tc>
          <w:tcPr>
            <w:tcW w:w="1671" w:type="dxa"/>
            <w:tcBorders>
              <w:top w:val="nil"/>
              <w:left w:val="nil"/>
              <w:bottom w:val="single" w:sz="4" w:space="0" w:color="auto"/>
              <w:right w:val="single" w:sz="8"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92%</w:t>
            </w:r>
          </w:p>
        </w:tc>
      </w:tr>
      <w:tr w:rsidR="00545342" w:rsidRPr="00545342" w:rsidTr="00545342">
        <w:trPr>
          <w:trHeight w:val="320"/>
        </w:trPr>
        <w:tc>
          <w:tcPr>
            <w:tcW w:w="1049" w:type="dxa"/>
            <w:tcBorders>
              <w:top w:val="nil"/>
              <w:left w:val="single" w:sz="8" w:space="0" w:color="auto"/>
              <w:bottom w:val="single" w:sz="4" w:space="0" w:color="auto"/>
              <w:right w:val="nil"/>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2017/18</w:t>
            </w:r>
          </w:p>
        </w:tc>
        <w:tc>
          <w:tcPr>
            <w:tcW w:w="1500" w:type="dxa"/>
            <w:tcBorders>
              <w:top w:val="nil"/>
              <w:left w:val="single" w:sz="8" w:space="0" w:color="auto"/>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37</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30</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7</w:t>
            </w:r>
          </w:p>
        </w:tc>
        <w:tc>
          <w:tcPr>
            <w:tcW w:w="1671" w:type="dxa"/>
            <w:tcBorders>
              <w:top w:val="nil"/>
              <w:left w:val="nil"/>
              <w:bottom w:val="single" w:sz="4" w:space="0" w:color="auto"/>
              <w:right w:val="single" w:sz="8"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81%</w:t>
            </w:r>
          </w:p>
        </w:tc>
      </w:tr>
      <w:tr w:rsidR="00545342" w:rsidRPr="00545342" w:rsidTr="00545342">
        <w:trPr>
          <w:trHeight w:val="320"/>
        </w:trPr>
        <w:tc>
          <w:tcPr>
            <w:tcW w:w="1049" w:type="dxa"/>
            <w:tcBorders>
              <w:top w:val="nil"/>
              <w:left w:val="single" w:sz="8" w:space="0" w:color="auto"/>
              <w:bottom w:val="single" w:sz="4" w:space="0" w:color="auto"/>
              <w:right w:val="nil"/>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2018/19</w:t>
            </w:r>
          </w:p>
        </w:tc>
        <w:tc>
          <w:tcPr>
            <w:tcW w:w="1500" w:type="dxa"/>
            <w:tcBorders>
              <w:top w:val="nil"/>
              <w:left w:val="single" w:sz="8" w:space="0" w:color="auto"/>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33</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20</w:t>
            </w:r>
          </w:p>
        </w:tc>
        <w:tc>
          <w:tcPr>
            <w:tcW w:w="1500" w:type="dxa"/>
            <w:tcBorders>
              <w:top w:val="nil"/>
              <w:left w:val="nil"/>
              <w:bottom w:val="single" w:sz="4"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13</w:t>
            </w:r>
          </w:p>
        </w:tc>
        <w:tc>
          <w:tcPr>
            <w:tcW w:w="1671" w:type="dxa"/>
            <w:tcBorders>
              <w:top w:val="nil"/>
              <w:left w:val="nil"/>
              <w:bottom w:val="single" w:sz="4" w:space="0" w:color="auto"/>
              <w:right w:val="single" w:sz="8"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61%</w:t>
            </w:r>
          </w:p>
        </w:tc>
      </w:tr>
      <w:tr w:rsidR="00545342" w:rsidRPr="00545342" w:rsidTr="00545342">
        <w:trPr>
          <w:trHeight w:val="340"/>
        </w:trPr>
        <w:tc>
          <w:tcPr>
            <w:tcW w:w="1049" w:type="dxa"/>
            <w:tcBorders>
              <w:top w:val="nil"/>
              <w:left w:val="single" w:sz="8" w:space="0" w:color="auto"/>
              <w:bottom w:val="single" w:sz="8" w:space="0" w:color="auto"/>
              <w:right w:val="nil"/>
            </w:tcBorders>
            <w:shd w:val="clear" w:color="auto" w:fill="auto"/>
            <w:noWrap/>
            <w:vAlign w:val="bottom"/>
            <w:hideMark/>
          </w:tcPr>
          <w:p w:rsidR="00545342" w:rsidRPr="00545342" w:rsidRDefault="00545342" w:rsidP="00545342">
            <w:pPr>
              <w:rPr>
                <w:rFonts w:ascii="Calibri" w:eastAsia="Times New Roman" w:hAnsi="Calibri" w:cs="Calibri"/>
                <w:b/>
                <w:bCs/>
                <w:color w:val="000000"/>
                <w:lang w:eastAsia="en-GB"/>
              </w:rPr>
            </w:pPr>
            <w:r w:rsidRPr="00545342">
              <w:rPr>
                <w:rFonts w:ascii="Calibri" w:eastAsia="Times New Roman" w:hAnsi="Calibri" w:cs="Calibri"/>
                <w:b/>
                <w:bCs/>
                <w:color w:val="000000"/>
                <w:lang w:eastAsia="en-GB"/>
              </w:rPr>
              <w:t>2019/20</w:t>
            </w:r>
          </w:p>
        </w:tc>
        <w:tc>
          <w:tcPr>
            <w:tcW w:w="1500" w:type="dxa"/>
            <w:tcBorders>
              <w:top w:val="nil"/>
              <w:left w:val="single" w:sz="8" w:space="0" w:color="auto"/>
              <w:bottom w:val="single" w:sz="8"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42</w:t>
            </w:r>
          </w:p>
        </w:tc>
        <w:tc>
          <w:tcPr>
            <w:tcW w:w="1500" w:type="dxa"/>
            <w:tcBorders>
              <w:top w:val="nil"/>
              <w:left w:val="nil"/>
              <w:bottom w:val="single" w:sz="8"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35</w:t>
            </w:r>
          </w:p>
        </w:tc>
        <w:tc>
          <w:tcPr>
            <w:tcW w:w="1500" w:type="dxa"/>
            <w:tcBorders>
              <w:top w:val="nil"/>
              <w:left w:val="nil"/>
              <w:bottom w:val="single" w:sz="8" w:space="0" w:color="auto"/>
              <w:right w:val="single" w:sz="4"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7</w:t>
            </w:r>
          </w:p>
        </w:tc>
        <w:tc>
          <w:tcPr>
            <w:tcW w:w="1671" w:type="dxa"/>
            <w:tcBorders>
              <w:top w:val="nil"/>
              <w:left w:val="nil"/>
              <w:bottom w:val="single" w:sz="8" w:space="0" w:color="auto"/>
              <w:right w:val="single" w:sz="8" w:space="0" w:color="auto"/>
            </w:tcBorders>
            <w:shd w:val="clear" w:color="auto" w:fill="auto"/>
            <w:noWrap/>
            <w:vAlign w:val="bottom"/>
            <w:hideMark/>
          </w:tcPr>
          <w:p w:rsidR="00545342" w:rsidRPr="00545342" w:rsidRDefault="00545342" w:rsidP="00545342">
            <w:pPr>
              <w:jc w:val="right"/>
              <w:rPr>
                <w:rFonts w:ascii="Calibri" w:eastAsia="Times New Roman" w:hAnsi="Calibri" w:cs="Calibri"/>
                <w:color w:val="000000"/>
                <w:lang w:eastAsia="en-GB"/>
              </w:rPr>
            </w:pPr>
            <w:r w:rsidRPr="00545342">
              <w:rPr>
                <w:rFonts w:ascii="Calibri" w:eastAsia="Times New Roman" w:hAnsi="Calibri" w:cs="Calibri"/>
                <w:color w:val="000000"/>
                <w:lang w:eastAsia="en-GB"/>
              </w:rPr>
              <w:t>83%</w:t>
            </w:r>
          </w:p>
        </w:tc>
      </w:tr>
    </w:tbl>
    <w:p w:rsidR="00545342" w:rsidRDefault="00545342"/>
    <w:p w:rsidR="00545342" w:rsidRDefault="00545342">
      <w:r w:rsidRPr="00C30123">
        <w:rPr>
          <w:u w:val="single"/>
        </w:rPr>
        <w:t xml:space="preserve">Had all application in 2019/20 been approved the additional cost to the council would have been </w:t>
      </w:r>
      <w:r w:rsidRPr="00C30123">
        <w:rPr>
          <w:b/>
          <w:bCs/>
          <w:u w:val="single"/>
        </w:rPr>
        <w:t>less than £50,000</w:t>
      </w:r>
      <w:r>
        <w:t>.</w:t>
      </w:r>
      <w:r w:rsidR="00C30123">
        <w:t xml:space="preserve"> There is no reason to believe that there are hundreds of parents waiting on a right to funded deferral, who have not even applied for discretionary deferral.</w:t>
      </w:r>
      <w:r w:rsidR="004D3E9E">
        <w:t xml:space="preserve"> </w:t>
      </w:r>
      <w:r>
        <w:t>It is worth noting that in 2018/19 North Lanarkshire Council had the 5</w:t>
      </w:r>
      <w:r w:rsidRPr="00545342">
        <w:rPr>
          <w:vertAlign w:val="superscript"/>
        </w:rPr>
        <w:t>th</w:t>
      </w:r>
      <w:r>
        <w:t xml:space="preserve"> highest rate of rejections for discretionary approvals in Scotland, and in 2019/20 they were 9</w:t>
      </w:r>
      <w:r w:rsidRPr="00545342">
        <w:rPr>
          <w:vertAlign w:val="superscript"/>
        </w:rPr>
        <w:t>th</w:t>
      </w:r>
      <w:r>
        <w:t xml:space="preserve"> highest.</w:t>
      </w:r>
    </w:p>
    <w:p w:rsidR="00545342" w:rsidRDefault="00545342"/>
    <w:p w:rsidR="00545342" w:rsidRDefault="00545342"/>
    <w:p w:rsidR="001C3E61" w:rsidRPr="003E3BBE" w:rsidRDefault="00AB091F">
      <w:pPr>
        <w:rPr>
          <w:b/>
          <w:bCs/>
        </w:rPr>
      </w:pPr>
      <w:r>
        <w:rPr>
          <w:b/>
          <w:bCs/>
        </w:rPr>
        <w:t>3.</w:t>
      </w:r>
      <w:r>
        <w:rPr>
          <w:b/>
          <w:bCs/>
        </w:rPr>
        <w:tab/>
      </w:r>
      <w:r w:rsidR="003E3BBE" w:rsidRPr="003E3BBE">
        <w:rPr>
          <w:b/>
          <w:bCs/>
        </w:rPr>
        <w:t>Exaggerated calculation of increased deferrals</w:t>
      </w:r>
    </w:p>
    <w:p w:rsidR="001C3E61" w:rsidRDefault="001C3E61"/>
    <w:p w:rsidR="00C30123" w:rsidRDefault="003E3BBE">
      <w:r>
        <w:t>The figure for an estimated increase in deferrals</w:t>
      </w:r>
      <w:r w:rsidR="00C30123">
        <w:t xml:space="preserve"> provided in Annex 1 is calculated by:</w:t>
      </w:r>
    </w:p>
    <w:p w:rsidR="00C30123" w:rsidRDefault="00C30123"/>
    <w:p w:rsidR="00C30123" w:rsidRDefault="003E3BBE" w:rsidP="00C30123">
      <w:pPr>
        <w:pStyle w:val="ListParagraph"/>
        <w:numPr>
          <w:ilvl w:val="0"/>
          <w:numId w:val="2"/>
        </w:numPr>
      </w:pPr>
      <w:r>
        <w:t>tak</w:t>
      </w:r>
      <w:r w:rsidR="00C30123">
        <w:t>ing</w:t>
      </w:r>
      <w:r>
        <w:t xml:space="preserve"> the known eligible cohort for 2020/21 (2,377)</w:t>
      </w:r>
      <w:r w:rsidR="00C30123">
        <w:t>;</w:t>
      </w:r>
    </w:p>
    <w:p w:rsidR="00C30123" w:rsidRDefault="00C30123" w:rsidP="00C30123">
      <w:pPr>
        <w:pStyle w:val="ListParagraph"/>
      </w:pPr>
    </w:p>
    <w:p w:rsidR="00C30123" w:rsidRDefault="00C30123" w:rsidP="00C30123">
      <w:pPr>
        <w:pStyle w:val="ListParagraph"/>
        <w:numPr>
          <w:ilvl w:val="0"/>
          <w:numId w:val="2"/>
        </w:numPr>
      </w:pPr>
      <w:r>
        <w:t>assuming an overall deferral rate for Aug-Feb of 14.22% with no explanation;</w:t>
      </w:r>
    </w:p>
    <w:p w:rsidR="00C30123" w:rsidRDefault="00C30123" w:rsidP="00C30123">
      <w:pPr>
        <w:pStyle w:val="ListParagraph"/>
      </w:pPr>
    </w:p>
    <w:p w:rsidR="00C30123" w:rsidRDefault="00C30123" w:rsidP="00C30123">
      <w:pPr>
        <w:pStyle w:val="ListParagraph"/>
        <w:numPr>
          <w:ilvl w:val="0"/>
          <w:numId w:val="2"/>
        </w:numPr>
      </w:pPr>
      <w:r>
        <w:t>assuming 292 deferrals in the Jan-Feb cohort and 46 in the Aug-Dec cohort, with no explanation or provision of the total eligible number in each cohort;</w:t>
      </w:r>
    </w:p>
    <w:p w:rsidR="00C30123" w:rsidRDefault="00C30123"/>
    <w:p w:rsidR="00C30123" w:rsidRDefault="003E3BBE" w:rsidP="00C30123">
      <w:pPr>
        <w:pStyle w:val="ListParagraph"/>
        <w:numPr>
          <w:ilvl w:val="0"/>
          <w:numId w:val="2"/>
        </w:numPr>
      </w:pPr>
      <w:r>
        <w:t>add</w:t>
      </w:r>
      <w:r w:rsidR="00C30123">
        <w:t>ing</w:t>
      </w:r>
      <w:r>
        <w:t xml:space="preserve"> 27% to this</w:t>
      </w:r>
      <w:r w:rsidR="00C30123">
        <w:t xml:space="preserve"> for 2021/22;</w:t>
      </w:r>
    </w:p>
    <w:p w:rsidR="00C30123" w:rsidRDefault="00C30123"/>
    <w:p w:rsidR="003E3BBE" w:rsidRDefault="003E3BBE" w:rsidP="00C30123">
      <w:pPr>
        <w:pStyle w:val="ListParagraph"/>
        <w:numPr>
          <w:ilvl w:val="0"/>
          <w:numId w:val="2"/>
        </w:numPr>
      </w:pPr>
      <w:r>
        <w:t>then add</w:t>
      </w:r>
      <w:r w:rsidR="00C30123">
        <w:t>ing</w:t>
      </w:r>
      <w:r>
        <w:t xml:space="preserve"> a further 60% to this</w:t>
      </w:r>
      <w:r w:rsidR="00C30123">
        <w:t>, also</w:t>
      </w:r>
      <w:r>
        <w:t xml:space="preserve"> in 2021/22</w:t>
      </w:r>
      <w:r w:rsidR="00C30123">
        <w:t>;</w:t>
      </w:r>
    </w:p>
    <w:p w:rsidR="00C30123" w:rsidRDefault="00C30123"/>
    <w:p w:rsidR="00C30123" w:rsidRDefault="00C30123" w:rsidP="00C30123">
      <w:pPr>
        <w:pStyle w:val="ListParagraph"/>
        <w:numPr>
          <w:ilvl w:val="0"/>
          <w:numId w:val="2"/>
        </w:numPr>
      </w:pPr>
      <w:r>
        <w:t>putting a cost of £7,045 against each deferred child; and,</w:t>
      </w:r>
    </w:p>
    <w:p w:rsidR="00C30123" w:rsidRDefault="00C30123"/>
    <w:p w:rsidR="00C30123" w:rsidRDefault="00C30123" w:rsidP="00C30123">
      <w:pPr>
        <w:pStyle w:val="ListParagraph"/>
        <w:numPr>
          <w:ilvl w:val="0"/>
          <w:numId w:val="2"/>
        </w:numPr>
      </w:pPr>
      <w:r>
        <w:t xml:space="preserve">then attributing </w:t>
      </w:r>
      <w:r w:rsidRPr="00C30123">
        <w:rPr>
          <w:b/>
          <w:bCs/>
        </w:rPr>
        <w:t>every</w:t>
      </w:r>
      <w:r>
        <w:t xml:space="preserve"> deferral in </w:t>
      </w:r>
      <w:r w:rsidRPr="00C30123">
        <w:rPr>
          <w:b/>
          <w:bCs/>
        </w:rPr>
        <w:t>both</w:t>
      </w:r>
      <w:r>
        <w:t xml:space="preserve"> cohorts for </w:t>
      </w:r>
      <w:r w:rsidRPr="00C30123">
        <w:rPr>
          <w:b/>
          <w:bCs/>
        </w:rPr>
        <w:t>both</w:t>
      </w:r>
      <w:r>
        <w:t xml:space="preserve"> years to the cost of the policy.</w:t>
      </w:r>
    </w:p>
    <w:p w:rsidR="00C30123" w:rsidRDefault="00C30123"/>
    <w:p w:rsidR="003E3BBE" w:rsidRDefault="003E3BBE">
      <w:r w:rsidRPr="003E3BBE">
        <w:rPr>
          <w:u w:val="single"/>
        </w:rPr>
        <w:t>There is no explanation anywhere in the paper for a 27% increase in 2020/21</w:t>
      </w:r>
      <w:r>
        <w:t xml:space="preserve">. The number appears to have come out of thin air. This has the effect of increasing the deferral rate not by 60%, as apparently occurred in Falkirk, but by </w:t>
      </w:r>
      <w:r w:rsidRPr="003E3BBE">
        <w:rPr>
          <w:u w:val="single"/>
        </w:rPr>
        <w:t>103.2%</w:t>
      </w:r>
      <w:r>
        <w:t>. This number is an invention with no basis in even the most extreme evidence.</w:t>
      </w:r>
    </w:p>
    <w:p w:rsidR="001C3E61" w:rsidRDefault="001C3E61"/>
    <w:p w:rsidR="006A65C4" w:rsidRDefault="006A65C4">
      <w:r w:rsidRPr="006A65C4">
        <w:rPr>
          <w:u w:val="single"/>
        </w:rPr>
        <w:t>The calculation does not account for the fact that the council would be funding some deferrals among the Aug-Dec cohort anyway</w:t>
      </w:r>
      <w:r>
        <w:t xml:space="preserve">, even if it did not extend the right to funded places. It is misleading to attribute all </w:t>
      </w:r>
      <w:r w:rsidR="003B134B">
        <w:t>deferrals in this cohort to the policy; only the increased number should be considered.</w:t>
      </w:r>
    </w:p>
    <w:p w:rsidR="003B134B" w:rsidRDefault="003B134B"/>
    <w:p w:rsidR="00AB091F" w:rsidRDefault="00AB091F">
      <w:r>
        <w:t xml:space="preserve">The fourth column in Table 2 in the official’s report refers to the 60% increase as “Assumed Increase Per Give Them Time.” This could leave the impression that this figure is in some way related to the Give Them Time campaign. For the avoidance of all doubt, this figure </w:t>
      </w:r>
      <w:r w:rsidR="004D3E9E">
        <w:t>is entirely the assumption of council officials and we are disappointed to see it effectively attributed to us.</w:t>
      </w:r>
    </w:p>
    <w:p w:rsidR="00AB091F" w:rsidRDefault="00AB091F"/>
    <w:p w:rsidR="003B134B" w:rsidRDefault="003B134B">
      <w:r>
        <w:t>The figures somewhat gloss over the fact that there will be a considerable increase in North Lanarkshire’s cohort in this age group in any event, making it appear that the increase in the number of deferrals is greater than is actually the case.</w:t>
      </w:r>
    </w:p>
    <w:p w:rsidR="006A65C4" w:rsidRDefault="006A65C4"/>
    <w:p w:rsidR="001C3E61" w:rsidRDefault="003B134B">
      <w:r>
        <w:t>As a consequence of all of the above, t</w:t>
      </w:r>
      <w:r w:rsidR="00C30123">
        <w:t xml:space="preserve">he calculation </w:t>
      </w:r>
      <w:r>
        <w:t xml:space="preserve">at Appendix 1, on which the report is based, </w:t>
      </w:r>
      <w:r w:rsidR="00C30123">
        <w:t>is manifestly absurd and has no basis in evidence.</w:t>
      </w:r>
    </w:p>
    <w:p w:rsidR="00F2453A" w:rsidRDefault="00F2453A"/>
    <w:p w:rsidR="00A7488C" w:rsidRDefault="00A7488C">
      <w:r>
        <w:t>Under Recommendations, the report states that the Council is asked to:</w:t>
      </w:r>
    </w:p>
    <w:p w:rsidR="00A7488C" w:rsidRDefault="00A7488C"/>
    <w:p w:rsidR="00A7488C" w:rsidRDefault="00A7488C">
      <w:r>
        <w:t>“</w:t>
      </w:r>
      <w:r w:rsidRPr="00A7488C">
        <w:t>2) Note the estimated annual costs of £2.382m in 2020/21 (27% growth projected) increasing to £4.834m from 2021/22 onwards (further 60% increase).</w:t>
      </w:r>
      <w:r>
        <w:t>”</w:t>
      </w:r>
    </w:p>
    <w:p w:rsidR="00A7488C" w:rsidRDefault="00A7488C"/>
    <w:p w:rsidR="00A7488C" w:rsidRDefault="006A65C4">
      <w:r>
        <w:t xml:space="preserve">These figures are total figures for the entirety of </w:t>
      </w:r>
      <w:r w:rsidRPr="006A65C4">
        <w:rPr>
          <w:b/>
          <w:bCs/>
        </w:rPr>
        <w:t>all</w:t>
      </w:r>
      <w:r>
        <w:t xml:space="preserve"> deferrals, regardless of cohort, and give no indication whatsoever of the </w:t>
      </w:r>
      <w:r w:rsidRPr="006A65C4">
        <w:rPr>
          <w:b/>
          <w:bCs/>
        </w:rPr>
        <w:t>additional</w:t>
      </w:r>
      <w:r>
        <w:t xml:space="preserve"> cost of extending the right to defer.</w:t>
      </w:r>
    </w:p>
    <w:p w:rsidR="00A7488C" w:rsidRDefault="00A7488C"/>
    <w:p w:rsidR="00F2453A" w:rsidRDefault="00F2453A">
      <w:r>
        <w:lastRenderedPageBreak/>
        <w:t>By way of comparison, please see below our own calculation</w:t>
      </w:r>
      <w:r w:rsidR="00A7488C">
        <w:t xml:space="preserve"> at Table 2</w:t>
      </w:r>
      <w:r>
        <w:t xml:space="preserve">. This accepts the same </w:t>
      </w:r>
      <w:r w:rsidR="00A7488C">
        <w:t xml:space="preserve">Aug-Feb </w:t>
      </w:r>
      <w:r>
        <w:t>cohort numbers, the same 60% increase in the deferral rate as apparently occurred in Falkirk, and the same annual cost as in the calculations provided by officials. It only differs in that it applies the 60% increase to the current rate of deferrals among the Aug-Dec cohort, and does not apply the unexplained 27% extra.</w:t>
      </w:r>
      <w:r w:rsidR="00A7488C">
        <w:t xml:space="preserve"> We have also had to estimate the proportion of this cohort that are born Aug-Dec, from the 2019/20 data. </w:t>
      </w:r>
    </w:p>
    <w:p w:rsidR="00A7488C" w:rsidRDefault="00A7488C"/>
    <w:p w:rsidR="00A7488C" w:rsidRDefault="00A7488C">
      <w:r>
        <w:t xml:space="preserve">This calculation finds that the additional cost of the decision of 20 June 2019 would be £199,916.74. </w:t>
      </w:r>
      <w:r>
        <w:br w:type="page"/>
      </w:r>
    </w:p>
    <w:p w:rsidR="00A7488C" w:rsidRDefault="00A7488C">
      <w:pPr>
        <w:sectPr w:rsidR="00A7488C" w:rsidSect="00856E6F">
          <w:footerReference w:type="even" r:id="rId7"/>
          <w:footerReference w:type="default" r:id="rId8"/>
          <w:pgSz w:w="11900" w:h="16840"/>
          <w:pgMar w:top="1440" w:right="1440" w:bottom="1440" w:left="1440" w:header="708" w:footer="708" w:gutter="0"/>
          <w:cols w:space="708"/>
          <w:docGrid w:linePitch="360"/>
        </w:sectPr>
      </w:pPr>
    </w:p>
    <w:p w:rsidR="00F2453A" w:rsidRDefault="00F2453A"/>
    <w:p w:rsidR="00F2453A" w:rsidRPr="00A7488C" w:rsidRDefault="00A7488C">
      <w:pPr>
        <w:rPr>
          <w:b/>
          <w:bCs/>
        </w:rPr>
      </w:pPr>
      <w:r w:rsidRPr="00A7488C">
        <w:rPr>
          <w:b/>
          <w:bCs/>
        </w:rPr>
        <w:t>Table 2: Additional costs of providing a funded place for children in the Aug-Dec cohort in 2020/21, assuming a 60% increase in the deferral rate among cohort.</w:t>
      </w:r>
    </w:p>
    <w:p w:rsidR="00A7488C" w:rsidRDefault="00A7488C"/>
    <w:tbl>
      <w:tblPr>
        <w:tblW w:w="13200" w:type="dxa"/>
        <w:tblLook w:val="04A0" w:firstRow="1" w:lastRow="0" w:firstColumn="1" w:lastColumn="0" w:noHBand="0" w:noVBand="1"/>
      </w:tblPr>
      <w:tblGrid>
        <w:gridCol w:w="2180"/>
        <w:gridCol w:w="2260"/>
        <w:gridCol w:w="1460"/>
        <w:gridCol w:w="1460"/>
        <w:gridCol w:w="1460"/>
        <w:gridCol w:w="1460"/>
        <w:gridCol w:w="1460"/>
        <w:gridCol w:w="1460"/>
      </w:tblGrid>
      <w:tr w:rsidR="00F2453A" w:rsidRPr="00F2453A" w:rsidTr="00F2453A">
        <w:trPr>
          <w:trHeight w:val="700"/>
        </w:trPr>
        <w:tc>
          <w:tcPr>
            <w:tcW w:w="2180" w:type="dxa"/>
            <w:tcBorders>
              <w:top w:val="single" w:sz="8" w:space="0" w:color="auto"/>
              <w:left w:val="single" w:sz="8" w:space="0" w:color="auto"/>
              <w:bottom w:val="single" w:sz="4" w:space="0" w:color="auto"/>
              <w:right w:val="single" w:sz="4" w:space="0" w:color="auto"/>
            </w:tcBorders>
            <w:shd w:val="clear" w:color="auto" w:fill="auto"/>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Year</w:t>
            </w:r>
          </w:p>
        </w:tc>
        <w:tc>
          <w:tcPr>
            <w:tcW w:w="2260" w:type="dxa"/>
            <w:tcBorders>
              <w:top w:val="single" w:sz="8" w:space="0" w:color="auto"/>
              <w:left w:val="nil"/>
              <w:bottom w:val="nil"/>
              <w:right w:val="single" w:sz="4" w:space="0" w:color="auto"/>
            </w:tcBorders>
            <w:shd w:val="clear" w:color="auto" w:fill="auto"/>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Assumption</w:t>
            </w:r>
          </w:p>
        </w:tc>
        <w:tc>
          <w:tcPr>
            <w:tcW w:w="1460" w:type="dxa"/>
            <w:tcBorders>
              <w:top w:val="single" w:sz="8" w:space="0" w:color="auto"/>
              <w:left w:val="nil"/>
              <w:bottom w:val="nil"/>
              <w:right w:val="single" w:sz="4" w:space="0" w:color="auto"/>
            </w:tcBorders>
            <w:shd w:val="clear" w:color="auto" w:fill="auto"/>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Aug-Feb total cohort</w:t>
            </w:r>
          </w:p>
        </w:tc>
        <w:tc>
          <w:tcPr>
            <w:tcW w:w="1460" w:type="dxa"/>
            <w:tcBorders>
              <w:top w:val="single" w:sz="8" w:space="0" w:color="auto"/>
              <w:left w:val="nil"/>
              <w:bottom w:val="nil"/>
              <w:right w:val="single" w:sz="4" w:space="0" w:color="auto"/>
            </w:tcBorders>
            <w:shd w:val="clear" w:color="auto" w:fill="auto"/>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Aug-Dec total cohort</w:t>
            </w:r>
          </w:p>
        </w:tc>
        <w:tc>
          <w:tcPr>
            <w:tcW w:w="1460" w:type="dxa"/>
            <w:tcBorders>
              <w:top w:val="single" w:sz="8" w:space="0" w:color="auto"/>
              <w:left w:val="nil"/>
              <w:bottom w:val="nil"/>
              <w:right w:val="single" w:sz="4" w:space="0" w:color="auto"/>
            </w:tcBorders>
            <w:shd w:val="clear" w:color="auto" w:fill="auto"/>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Aug-Dec deferrals</w:t>
            </w:r>
          </w:p>
        </w:tc>
        <w:tc>
          <w:tcPr>
            <w:tcW w:w="1460" w:type="dxa"/>
            <w:tcBorders>
              <w:top w:val="single" w:sz="8" w:space="0" w:color="auto"/>
              <w:left w:val="nil"/>
              <w:bottom w:val="nil"/>
              <w:right w:val="single" w:sz="4" w:space="0" w:color="auto"/>
            </w:tcBorders>
            <w:shd w:val="clear" w:color="auto" w:fill="auto"/>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Aug-Dec deferral rate</w:t>
            </w:r>
          </w:p>
        </w:tc>
        <w:tc>
          <w:tcPr>
            <w:tcW w:w="1460" w:type="dxa"/>
            <w:tcBorders>
              <w:top w:val="single" w:sz="8" w:space="0" w:color="auto"/>
              <w:left w:val="nil"/>
              <w:bottom w:val="nil"/>
              <w:right w:val="single" w:sz="4" w:space="0" w:color="auto"/>
            </w:tcBorders>
            <w:shd w:val="clear" w:color="auto" w:fill="auto"/>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Cost per child</w:t>
            </w:r>
          </w:p>
        </w:tc>
        <w:tc>
          <w:tcPr>
            <w:tcW w:w="1460" w:type="dxa"/>
            <w:tcBorders>
              <w:top w:val="single" w:sz="8" w:space="0" w:color="auto"/>
              <w:left w:val="nil"/>
              <w:bottom w:val="nil"/>
              <w:right w:val="single" w:sz="8" w:space="0" w:color="auto"/>
            </w:tcBorders>
            <w:shd w:val="clear" w:color="auto" w:fill="auto"/>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Total cost</w:t>
            </w:r>
          </w:p>
        </w:tc>
      </w:tr>
      <w:tr w:rsidR="00F2453A" w:rsidRPr="00F2453A" w:rsidTr="00A7488C">
        <w:trPr>
          <w:trHeight w:val="320"/>
        </w:trPr>
        <w:tc>
          <w:tcPr>
            <w:tcW w:w="2180" w:type="dxa"/>
            <w:tcBorders>
              <w:top w:val="nil"/>
              <w:left w:val="single" w:sz="8" w:space="0" w:color="auto"/>
              <w:bottom w:val="single" w:sz="4" w:space="0" w:color="auto"/>
              <w:right w:val="nil"/>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2019/20</w:t>
            </w:r>
          </w:p>
        </w:tc>
        <w:tc>
          <w:tcPr>
            <w:tcW w:w="226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i/>
                <w:iCs/>
                <w:color w:val="000000"/>
                <w:lang w:eastAsia="en-GB"/>
              </w:rPr>
            </w:pPr>
            <w:r w:rsidRPr="00F2453A">
              <w:rPr>
                <w:rFonts w:ascii="Calibri" w:eastAsia="Times New Roman" w:hAnsi="Calibri" w:cs="Calibri"/>
                <w:i/>
                <w:iCs/>
                <w:color w:val="000000"/>
                <w:lang w:eastAsia="en-GB"/>
              </w:rPr>
              <w:t>As given</w:t>
            </w:r>
          </w:p>
        </w:tc>
        <w:tc>
          <w:tcPr>
            <w:tcW w:w="1460" w:type="dxa"/>
            <w:tcBorders>
              <w:top w:val="single" w:sz="8" w:space="0" w:color="auto"/>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2006</w:t>
            </w:r>
          </w:p>
        </w:tc>
        <w:tc>
          <w:tcPr>
            <w:tcW w:w="1460" w:type="dxa"/>
            <w:tcBorders>
              <w:top w:val="single" w:sz="8" w:space="0" w:color="auto"/>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1355</w:t>
            </w:r>
          </w:p>
        </w:tc>
        <w:tc>
          <w:tcPr>
            <w:tcW w:w="1460" w:type="dxa"/>
            <w:tcBorders>
              <w:top w:val="single" w:sz="8" w:space="0" w:color="auto"/>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36</w:t>
            </w:r>
          </w:p>
        </w:tc>
        <w:tc>
          <w:tcPr>
            <w:tcW w:w="1460" w:type="dxa"/>
            <w:tcBorders>
              <w:top w:val="single" w:sz="8" w:space="0" w:color="auto"/>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2.66%</w:t>
            </w:r>
          </w:p>
        </w:tc>
        <w:tc>
          <w:tcPr>
            <w:tcW w:w="1460" w:type="dxa"/>
            <w:tcBorders>
              <w:top w:val="single" w:sz="8" w:space="0" w:color="auto"/>
              <w:left w:val="nil"/>
              <w:bottom w:val="single" w:sz="4"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xml:space="preserve"> £    7,045.00 </w:t>
            </w:r>
          </w:p>
        </w:tc>
        <w:tc>
          <w:tcPr>
            <w:tcW w:w="1460" w:type="dxa"/>
            <w:tcBorders>
              <w:top w:val="single" w:sz="8" w:space="0" w:color="auto"/>
              <w:left w:val="nil"/>
              <w:bottom w:val="single" w:sz="4" w:space="0" w:color="auto"/>
              <w:right w:val="single" w:sz="8" w:space="0" w:color="auto"/>
            </w:tcBorders>
            <w:shd w:val="clear"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xml:space="preserve"> £253,620.00 </w:t>
            </w:r>
          </w:p>
        </w:tc>
      </w:tr>
      <w:tr w:rsidR="00F2453A" w:rsidRPr="00F2453A" w:rsidTr="00A7488C">
        <w:trPr>
          <w:trHeight w:val="320"/>
        </w:trPr>
        <w:tc>
          <w:tcPr>
            <w:tcW w:w="2180" w:type="dxa"/>
            <w:tcBorders>
              <w:top w:val="single" w:sz="4" w:space="0" w:color="auto"/>
              <w:left w:val="single" w:sz="8" w:space="0" w:color="auto"/>
              <w:bottom w:val="single" w:sz="4" w:space="0" w:color="auto"/>
              <w:right w:val="nil"/>
            </w:tcBorders>
            <w:shd w:val="pct15"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 </w:t>
            </w:r>
          </w:p>
        </w:tc>
        <w:tc>
          <w:tcPr>
            <w:tcW w:w="2260" w:type="dxa"/>
            <w:tcBorders>
              <w:top w:val="single" w:sz="4" w:space="0" w:color="auto"/>
              <w:left w:val="single" w:sz="8" w:space="0" w:color="auto"/>
              <w:bottom w:val="single" w:sz="4" w:space="0" w:color="auto"/>
              <w:right w:val="single" w:sz="4" w:space="0" w:color="auto"/>
            </w:tcBorders>
            <w:shd w:val="pct15" w:color="auto" w:fill="auto"/>
            <w:noWrap/>
            <w:vAlign w:val="bottom"/>
            <w:hideMark/>
          </w:tcPr>
          <w:p w:rsidR="00F2453A" w:rsidRPr="00F2453A" w:rsidRDefault="00F2453A" w:rsidP="00F2453A">
            <w:pPr>
              <w:rPr>
                <w:rFonts w:ascii="Calibri" w:eastAsia="Times New Roman" w:hAnsi="Calibri" w:cs="Calibri"/>
                <w:i/>
                <w:iCs/>
                <w:color w:val="000000"/>
                <w:lang w:eastAsia="en-GB"/>
              </w:rPr>
            </w:pPr>
            <w:r w:rsidRPr="00F2453A">
              <w:rPr>
                <w:rFonts w:ascii="Calibri" w:eastAsia="Times New Roman" w:hAnsi="Calibri" w:cs="Calibri"/>
                <w:i/>
                <w:iCs/>
                <w:color w:val="000000"/>
                <w:lang w:eastAsia="en-GB"/>
              </w:rPr>
              <w:t> </w:t>
            </w:r>
          </w:p>
        </w:tc>
        <w:tc>
          <w:tcPr>
            <w:tcW w:w="1460" w:type="dxa"/>
            <w:tcBorders>
              <w:top w:val="single" w:sz="4" w:space="0" w:color="auto"/>
              <w:left w:val="nil"/>
              <w:bottom w:val="single" w:sz="4" w:space="0" w:color="auto"/>
              <w:right w:val="single" w:sz="4" w:space="0" w:color="auto"/>
            </w:tcBorders>
            <w:shd w:val="pct15"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w:t>
            </w:r>
          </w:p>
        </w:tc>
        <w:tc>
          <w:tcPr>
            <w:tcW w:w="1460" w:type="dxa"/>
            <w:tcBorders>
              <w:top w:val="single" w:sz="4" w:space="0" w:color="auto"/>
              <w:left w:val="nil"/>
              <w:bottom w:val="single" w:sz="4" w:space="0" w:color="auto"/>
              <w:right w:val="single" w:sz="4" w:space="0" w:color="auto"/>
            </w:tcBorders>
            <w:shd w:val="pct15"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w:t>
            </w:r>
          </w:p>
        </w:tc>
        <w:tc>
          <w:tcPr>
            <w:tcW w:w="1460" w:type="dxa"/>
            <w:tcBorders>
              <w:top w:val="single" w:sz="4" w:space="0" w:color="auto"/>
              <w:left w:val="nil"/>
              <w:bottom w:val="single" w:sz="4" w:space="0" w:color="auto"/>
              <w:right w:val="single" w:sz="4" w:space="0" w:color="auto"/>
            </w:tcBorders>
            <w:shd w:val="pct15"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w:t>
            </w:r>
          </w:p>
        </w:tc>
        <w:tc>
          <w:tcPr>
            <w:tcW w:w="1460" w:type="dxa"/>
            <w:tcBorders>
              <w:top w:val="single" w:sz="4" w:space="0" w:color="auto"/>
              <w:left w:val="nil"/>
              <w:bottom w:val="single" w:sz="4" w:space="0" w:color="auto"/>
              <w:right w:val="single" w:sz="4" w:space="0" w:color="auto"/>
            </w:tcBorders>
            <w:shd w:val="pct15"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w:t>
            </w:r>
          </w:p>
        </w:tc>
        <w:tc>
          <w:tcPr>
            <w:tcW w:w="1460" w:type="dxa"/>
            <w:tcBorders>
              <w:top w:val="single" w:sz="4" w:space="0" w:color="auto"/>
              <w:left w:val="nil"/>
              <w:bottom w:val="single" w:sz="4" w:space="0" w:color="auto"/>
              <w:right w:val="single" w:sz="4" w:space="0" w:color="auto"/>
            </w:tcBorders>
            <w:shd w:val="pct15"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w:t>
            </w:r>
          </w:p>
        </w:tc>
        <w:tc>
          <w:tcPr>
            <w:tcW w:w="1460" w:type="dxa"/>
            <w:tcBorders>
              <w:top w:val="single" w:sz="4" w:space="0" w:color="auto"/>
              <w:left w:val="nil"/>
              <w:bottom w:val="single" w:sz="4" w:space="0" w:color="auto"/>
              <w:right w:val="single" w:sz="8" w:space="0" w:color="auto"/>
            </w:tcBorders>
            <w:shd w:val="pct15"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w:t>
            </w:r>
          </w:p>
        </w:tc>
      </w:tr>
      <w:tr w:rsidR="00F2453A" w:rsidRPr="00F2453A" w:rsidTr="00F2453A">
        <w:trPr>
          <w:trHeight w:val="320"/>
        </w:trPr>
        <w:tc>
          <w:tcPr>
            <w:tcW w:w="2180" w:type="dxa"/>
            <w:tcBorders>
              <w:top w:val="nil"/>
              <w:left w:val="single" w:sz="8" w:space="0" w:color="auto"/>
              <w:bottom w:val="single" w:sz="4" w:space="0" w:color="auto"/>
              <w:right w:val="nil"/>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2020/21</w:t>
            </w:r>
          </w:p>
        </w:tc>
        <w:tc>
          <w:tcPr>
            <w:tcW w:w="2260" w:type="dxa"/>
            <w:tcBorders>
              <w:top w:val="nil"/>
              <w:left w:val="single" w:sz="8" w:space="0" w:color="auto"/>
              <w:bottom w:val="single" w:sz="4"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i/>
                <w:iCs/>
                <w:color w:val="000000"/>
                <w:lang w:eastAsia="en-GB"/>
              </w:rPr>
            </w:pPr>
            <w:r w:rsidRPr="00F2453A">
              <w:rPr>
                <w:rFonts w:ascii="Calibri" w:eastAsia="Times New Roman" w:hAnsi="Calibri" w:cs="Calibri"/>
                <w:i/>
                <w:iCs/>
                <w:color w:val="000000"/>
                <w:lang w:eastAsia="en-GB"/>
              </w:rPr>
              <w:t>At existing rate</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2377</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i/>
                <w:iCs/>
                <w:color w:val="000000"/>
                <w:lang w:eastAsia="en-GB"/>
              </w:rPr>
            </w:pPr>
            <w:r w:rsidRPr="00F2453A">
              <w:rPr>
                <w:rFonts w:ascii="Calibri" w:eastAsia="Times New Roman" w:hAnsi="Calibri" w:cs="Calibri"/>
                <w:i/>
                <w:iCs/>
                <w:color w:val="000000"/>
                <w:lang w:eastAsia="en-GB"/>
              </w:rPr>
              <w:t>1606</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43</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2.66%</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xml:space="preserve"> £    7,045.00 </w:t>
            </w:r>
          </w:p>
        </w:tc>
        <w:tc>
          <w:tcPr>
            <w:tcW w:w="1460" w:type="dxa"/>
            <w:tcBorders>
              <w:top w:val="nil"/>
              <w:left w:val="nil"/>
              <w:bottom w:val="single" w:sz="4" w:space="0" w:color="auto"/>
              <w:right w:val="single" w:sz="8" w:space="0" w:color="auto"/>
            </w:tcBorders>
            <w:shd w:val="clear"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xml:space="preserve"> £300,959.58 </w:t>
            </w:r>
          </w:p>
        </w:tc>
      </w:tr>
      <w:tr w:rsidR="00F2453A" w:rsidRPr="00F2453A" w:rsidTr="00F2453A">
        <w:trPr>
          <w:trHeight w:val="320"/>
        </w:trPr>
        <w:tc>
          <w:tcPr>
            <w:tcW w:w="2180" w:type="dxa"/>
            <w:tcBorders>
              <w:top w:val="nil"/>
              <w:left w:val="single" w:sz="8" w:space="0" w:color="auto"/>
              <w:bottom w:val="single" w:sz="4" w:space="0" w:color="auto"/>
              <w:right w:val="nil"/>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2020/21</w:t>
            </w:r>
          </w:p>
        </w:tc>
        <w:tc>
          <w:tcPr>
            <w:tcW w:w="2260" w:type="dxa"/>
            <w:tcBorders>
              <w:top w:val="nil"/>
              <w:left w:val="single" w:sz="8" w:space="0" w:color="auto"/>
              <w:bottom w:val="single" w:sz="4"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i/>
                <w:iCs/>
                <w:color w:val="000000"/>
                <w:lang w:eastAsia="en-GB"/>
              </w:rPr>
            </w:pPr>
            <w:r w:rsidRPr="00F2453A">
              <w:rPr>
                <w:rFonts w:ascii="Calibri" w:eastAsia="Times New Roman" w:hAnsi="Calibri" w:cs="Calibri"/>
                <w:i/>
                <w:iCs/>
                <w:color w:val="000000"/>
                <w:lang w:eastAsia="en-GB"/>
              </w:rPr>
              <w:t>60% increase to rate</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2377</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i/>
                <w:iCs/>
                <w:color w:val="000000"/>
                <w:lang w:eastAsia="en-GB"/>
              </w:rPr>
            </w:pPr>
            <w:r w:rsidRPr="00F2453A">
              <w:rPr>
                <w:rFonts w:ascii="Calibri" w:eastAsia="Times New Roman" w:hAnsi="Calibri" w:cs="Calibri"/>
                <w:i/>
                <w:iCs/>
                <w:color w:val="000000"/>
                <w:lang w:eastAsia="en-GB"/>
              </w:rPr>
              <w:t>1606</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71</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color w:val="000000"/>
                <w:lang w:eastAsia="en-GB"/>
              </w:rPr>
            </w:pPr>
            <w:r w:rsidRPr="00F2453A">
              <w:rPr>
                <w:rFonts w:ascii="Calibri" w:eastAsia="Times New Roman" w:hAnsi="Calibri" w:cs="Calibri"/>
                <w:color w:val="000000"/>
                <w:lang w:eastAsia="en-GB"/>
              </w:rPr>
              <w:t>4.43%</w:t>
            </w:r>
          </w:p>
        </w:tc>
        <w:tc>
          <w:tcPr>
            <w:tcW w:w="1460" w:type="dxa"/>
            <w:tcBorders>
              <w:top w:val="nil"/>
              <w:left w:val="nil"/>
              <w:bottom w:val="single" w:sz="4"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xml:space="preserve"> £    7,045.00 </w:t>
            </w:r>
          </w:p>
        </w:tc>
        <w:tc>
          <w:tcPr>
            <w:tcW w:w="1460" w:type="dxa"/>
            <w:tcBorders>
              <w:top w:val="nil"/>
              <w:left w:val="nil"/>
              <w:bottom w:val="single" w:sz="4" w:space="0" w:color="auto"/>
              <w:right w:val="single" w:sz="8" w:space="0" w:color="auto"/>
            </w:tcBorders>
            <w:shd w:val="clear"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xml:space="preserve"> £500,876.32 </w:t>
            </w:r>
          </w:p>
        </w:tc>
      </w:tr>
      <w:tr w:rsidR="00F2453A" w:rsidRPr="00F2453A" w:rsidTr="00F2453A">
        <w:trPr>
          <w:trHeight w:val="340"/>
        </w:trPr>
        <w:tc>
          <w:tcPr>
            <w:tcW w:w="2180" w:type="dxa"/>
            <w:tcBorders>
              <w:top w:val="nil"/>
              <w:left w:val="single" w:sz="8" w:space="0" w:color="auto"/>
              <w:bottom w:val="single" w:sz="8" w:space="0" w:color="auto"/>
              <w:right w:val="nil"/>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Additional</w:t>
            </w:r>
          </w:p>
        </w:tc>
        <w:tc>
          <w:tcPr>
            <w:tcW w:w="2260" w:type="dxa"/>
            <w:tcBorders>
              <w:top w:val="nil"/>
              <w:left w:val="single" w:sz="8" w:space="0" w:color="auto"/>
              <w:bottom w:val="single" w:sz="8"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 </w:t>
            </w:r>
          </w:p>
        </w:tc>
        <w:tc>
          <w:tcPr>
            <w:tcW w:w="1460" w:type="dxa"/>
            <w:tcBorders>
              <w:top w:val="nil"/>
              <w:left w:val="nil"/>
              <w:bottom w:val="single" w:sz="8"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 </w:t>
            </w:r>
          </w:p>
        </w:tc>
        <w:tc>
          <w:tcPr>
            <w:tcW w:w="1460" w:type="dxa"/>
            <w:tcBorders>
              <w:top w:val="nil"/>
              <w:left w:val="nil"/>
              <w:bottom w:val="single" w:sz="8"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 </w:t>
            </w:r>
          </w:p>
        </w:tc>
        <w:tc>
          <w:tcPr>
            <w:tcW w:w="1460" w:type="dxa"/>
            <w:tcBorders>
              <w:top w:val="nil"/>
              <w:left w:val="nil"/>
              <w:bottom w:val="single" w:sz="8" w:space="0" w:color="auto"/>
              <w:right w:val="single" w:sz="4" w:space="0" w:color="auto"/>
            </w:tcBorders>
            <w:shd w:val="clear" w:color="auto" w:fill="auto"/>
            <w:noWrap/>
            <w:vAlign w:val="bottom"/>
            <w:hideMark/>
          </w:tcPr>
          <w:p w:rsidR="00F2453A" w:rsidRPr="00F2453A" w:rsidRDefault="00F2453A" w:rsidP="00F2453A">
            <w:pPr>
              <w:jc w:val="right"/>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28</w:t>
            </w:r>
          </w:p>
        </w:tc>
        <w:tc>
          <w:tcPr>
            <w:tcW w:w="1460" w:type="dxa"/>
            <w:tcBorders>
              <w:top w:val="nil"/>
              <w:left w:val="nil"/>
              <w:bottom w:val="single" w:sz="8"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 </w:t>
            </w:r>
          </w:p>
        </w:tc>
        <w:tc>
          <w:tcPr>
            <w:tcW w:w="1460" w:type="dxa"/>
            <w:tcBorders>
              <w:top w:val="nil"/>
              <w:left w:val="nil"/>
              <w:bottom w:val="single" w:sz="8" w:space="0" w:color="auto"/>
              <w:right w:val="single" w:sz="4" w:space="0" w:color="auto"/>
            </w:tcBorders>
            <w:shd w:val="clear" w:color="auto" w:fill="auto"/>
            <w:noWrap/>
            <w:vAlign w:val="bottom"/>
            <w:hideMark/>
          </w:tcPr>
          <w:p w:rsidR="00F2453A" w:rsidRPr="00F2453A" w:rsidRDefault="00F2453A" w:rsidP="00F2453A">
            <w:pPr>
              <w:rPr>
                <w:rFonts w:ascii="Calibri" w:eastAsia="Times New Roman" w:hAnsi="Calibri" w:cs="Calibri"/>
                <w:color w:val="000000"/>
                <w:lang w:eastAsia="en-GB"/>
              </w:rPr>
            </w:pPr>
            <w:r w:rsidRPr="00F2453A">
              <w:rPr>
                <w:rFonts w:ascii="Calibri" w:eastAsia="Times New Roman" w:hAnsi="Calibri" w:cs="Calibri"/>
                <w:color w:val="000000"/>
                <w:lang w:eastAsia="en-GB"/>
              </w:rPr>
              <w:t xml:space="preserve"> £ </w:t>
            </w:r>
            <w:r w:rsidR="00A7488C">
              <w:rPr>
                <w:rFonts w:ascii="Calibri" w:eastAsia="Times New Roman" w:hAnsi="Calibri" w:cs="Calibri"/>
                <w:color w:val="000000"/>
                <w:lang w:eastAsia="en-GB"/>
              </w:rPr>
              <w:t xml:space="preserve"> </w:t>
            </w:r>
            <w:r w:rsidRPr="00F2453A">
              <w:rPr>
                <w:rFonts w:ascii="Calibri" w:eastAsia="Times New Roman" w:hAnsi="Calibri" w:cs="Calibri"/>
                <w:color w:val="000000"/>
                <w:lang w:eastAsia="en-GB"/>
              </w:rPr>
              <w:t xml:space="preserve">  7,045.00 </w:t>
            </w:r>
          </w:p>
        </w:tc>
        <w:tc>
          <w:tcPr>
            <w:tcW w:w="1460" w:type="dxa"/>
            <w:tcBorders>
              <w:top w:val="nil"/>
              <w:left w:val="nil"/>
              <w:bottom w:val="single" w:sz="8" w:space="0" w:color="auto"/>
              <w:right w:val="single" w:sz="8" w:space="0" w:color="auto"/>
            </w:tcBorders>
            <w:shd w:val="clear" w:color="auto" w:fill="auto"/>
            <w:noWrap/>
            <w:vAlign w:val="bottom"/>
            <w:hideMark/>
          </w:tcPr>
          <w:p w:rsidR="00F2453A" w:rsidRPr="00F2453A" w:rsidRDefault="00F2453A" w:rsidP="00F2453A">
            <w:pPr>
              <w:rPr>
                <w:rFonts w:ascii="Calibri" w:eastAsia="Times New Roman" w:hAnsi="Calibri" w:cs="Calibri"/>
                <w:b/>
                <w:bCs/>
                <w:color w:val="000000"/>
                <w:lang w:eastAsia="en-GB"/>
              </w:rPr>
            </w:pPr>
            <w:r w:rsidRPr="00F2453A">
              <w:rPr>
                <w:rFonts w:ascii="Calibri" w:eastAsia="Times New Roman" w:hAnsi="Calibri" w:cs="Calibri"/>
                <w:b/>
                <w:bCs/>
                <w:color w:val="000000"/>
                <w:lang w:eastAsia="en-GB"/>
              </w:rPr>
              <w:t xml:space="preserve"> £199,916.74 </w:t>
            </w:r>
          </w:p>
        </w:tc>
      </w:tr>
    </w:tbl>
    <w:p w:rsidR="00F2453A" w:rsidRDefault="00F2453A"/>
    <w:p w:rsidR="00C30123" w:rsidRDefault="00C30123"/>
    <w:p w:rsidR="00A7488C" w:rsidRPr="00A7488C" w:rsidRDefault="00A7488C">
      <w:pPr>
        <w:rPr>
          <w:i/>
          <w:iCs/>
        </w:rPr>
        <w:sectPr w:rsidR="00A7488C" w:rsidRPr="00A7488C" w:rsidSect="00A7488C">
          <w:pgSz w:w="16840" w:h="11900" w:orient="landscape"/>
          <w:pgMar w:top="1440" w:right="1440" w:bottom="1440" w:left="1440" w:header="708" w:footer="708" w:gutter="0"/>
          <w:cols w:space="708"/>
          <w:docGrid w:linePitch="360"/>
        </w:sectPr>
      </w:pPr>
      <w:r w:rsidRPr="00A7488C">
        <w:rPr>
          <w:i/>
          <w:iCs/>
        </w:rPr>
        <w:t>Note: Estimated figures in italics</w:t>
      </w:r>
      <w:r>
        <w:rPr>
          <w:i/>
          <w:iCs/>
        </w:rPr>
        <w:t>, based on the proportion for 2019/20.</w:t>
      </w:r>
    </w:p>
    <w:p w:rsidR="00545342" w:rsidRPr="00545342" w:rsidRDefault="00AB091F" w:rsidP="00545342">
      <w:pPr>
        <w:rPr>
          <w:b/>
          <w:bCs/>
        </w:rPr>
      </w:pPr>
      <w:r>
        <w:rPr>
          <w:b/>
          <w:bCs/>
        </w:rPr>
        <w:lastRenderedPageBreak/>
        <w:t>4.</w:t>
      </w:r>
      <w:r>
        <w:rPr>
          <w:b/>
          <w:bCs/>
        </w:rPr>
        <w:tab/>
      </w:r>
      <w:r w:rsidR="00545342" w:rsidRPr="00545342">
        <w:rPr>
          <w:b/>
          <w:bCs/>
        </w:rPr>
        <w:t xml:space="preserve">Failure to consider </w:t>
      </w:r>
      <w:r>
        <w:rPr>
          <w:b/>
          <w:bCs/>
        </w:rPr>
        <w:t xml:space="preserve">direct </w:t>
      </w:r>
      <w:r w:rsidR="00545342" w:rsidRPr="00545342">
        <w:rPr>
          <w:b/>
          <w:bCs/>
        </w:rPr>
        <w:t>saved costs</w:t>
      </w:r>
    </w:p>
    <w:p w:rsidR="00761F3B" w:rsidRDefault="00761F3B"/>
    <w:p w:rsidR="00203FA5" w:rsidRDefault="00545342">
      <w:r>
        <w:t xml:space="preserve">The decision of 20 June 2019 obviated the need for a panel to determine applications for discretionary deferral. Officials may be able to provide information on the number of hours, the grade of staff and the hourly rates of pay of staff members involved in this process in order to establish how much </w:t>
      </w:r>
      <w:r w:rsidR="00C30123">
        <w:t>resource could be re-allocated through abolition of the panel.</w:t>
      </w:r>
    </w:p>
    <w:p w:rsidR="00A7488C" w:rsidRDefault="00A7488C"/>
    <w:p w:rsidR="006A65C4" w:rsidRDefault="006A65C4"/>
    <w:p w:rsidR="006A65C4" w:rsidRPr="006A65C4" w:rsidRDefault="00AB091F">
      <w:pPr>
        <w:rPr>
          <w:b/>
          <w:bCs/>
        </w:rPr>
      </w:pPr>
      <w:r>
        <w:rPr>
          <w:b/>
          <w:bCs/>
        </w:rPr>
        <w:t>5.</w:t>
      </w:r>
      <w:r>
        <w:rPr>
          <w:b/>
          <w:bCs/>
        </w:rPr>
        <w:tab/>
      </w:r>
      <w:r w:rsidR="006A65C4" w:rsidRPr="006A65C4">
        <w:rPr>
          <w:b/>
          <w:bCs/>
        </w:rPr>
        <w:t>Actual additional costs versus theoretical additional costs</w:t>
      </w:r>
    </w:p>
    <w:p w:rsidR="006A65C4" w:rsidRDefault="006A65C4"/>
    <w:p w:rsidR="006A65C4" w:rsidRDefault="006A65C4">
      <w:r>
        <w:t>The figures given by officials and our own calculations are predicated on each additional deferred child carrying a cost to the council of £7,045. This is theoretical. In practice, it is entirely possible that the additional number of deferred children in the Aug-Dec cohort could be absorbed by existing local authority facilities at only marginal additional cost.</w:t>
      </w:r>
    </w:p>
    <w:p w:rsidR="006A65C4" w:rsidRDefault="006A65C4"/>
    <w:p w:rsidR="006A65C4" w:rsidRDefault="006A65C4">
      <w:r>
        <w:t>In our calculation at Table 1 above, a 60% increase in the deferral rate means 28 more nursery children than would have been the case had the rate remained as it was in 2019/20.</w:t>
      </w:r>
    </w:p>
    <w:p w:rsidR="006A65C4" w:rsidRDefault="006A65C4"/>
    <w:p w:rsidR="006A65C4" w:rsidRDefault="006A65C4">
      <w:r>
        <w:t>North Lanarkshire Council has 73 nursery classes and 16 Family Learning Centres.</w:t>
      </w:r>
    </w:p>
    <w:p w:rsidR="006A65C4" w:rsidRDefault="006A65C4"/>
    <w:p w:rsidR="006A65C4" w:rsidRDefault="006A65C4">
      <w:r>
        <w:t xml:space="preserve">This means that the average increase in places required per facility as a result of a 60% increase in the deferral rate for </w:t>
      </w:r>
      <w:r w:rsidR="003B134B">
        <w:t>the Aug-Dec cohort is 0.32 children per facility. Unless the pre-school facilities are generally running at around 100% capacity, there will be little or no actual additional costs generated by the extension to the right to defer at all.</w:t>
      </w:r>
    </w:p>
    <w:p w:rsidR="003B134B" w:rsidRDefault="003B134B"/>
    <w:p w:rsidR="00AB091F" w:rsidRPr="00AB091F" w:rsidRDefault="00AB091F">
      <w:pPr>
        <w:rPr>
          <w:b/>
          <w:bCs/>
        </w:rPr>
      </w:pPr>
      <w:r w:rsidRPr="00AB091F">
        <w:rPr>
          <w:b/>
          <w:bCs/>
        </w:rPr>
        <w:t>PART TWO: EDUCATIONAL ISSUES</w:t>
      </w:r>
    </w:p>
    <w:p w:rsidR="00AB091F" w:rsidRDefault="00AB091F"/>
    <w:p w:rsidR="00AB091F" w:rsidRPr="00892D15" w:rsidRDefault="00892D15">
      <w:r w:rsidRPr="00892D15">
        <w:t>See appendix 1 which contains the NLC document and our comments under the sections we take issue with.</w:t>
      </w:r>
    </w:p>
    <w:p w:rsidR="00AB091F" w:rsidRDefault="00AB091F"/>
    <w:p w:rsidR="00AB091F" w:rsidRDefault="00AB091F"/>
    <w:p w:rsidR="00AB091F" w:rsidRPr="00AB091F" w:rsidRDefault="00AB091F">
      <w:pPr>
        <w:rPr>
          <w:b/>
          <w:bCs/>
        </w:rPr>
      </w:pPr>
      <w:r w:rsidRPr="00AB091F">
        <w:rPr>
          <w:b/>
          <w:bCs/>
        </w:rPr>
        <w:t>PART THREE: OTHER ISSUES</w:t>
      </w:r>
    </w:p>
    <w:p w:rsidR="00204F1D" w:rsidRDefault="00204F1D"/>
    <w:p w:rsidR="00204F1D" w:rsidRPr="00AB091F" w:rsidRDefault="00AB091F" w:rsidP="00AB091F">
      <w:pPr>
        <w:rPr>
          <w:b/>
          <w:bCs/>
        </w:rPr>
      </w:pPr>
      <w:r w:rsidRPr="00AB091F">
        <w:rPr>
          <w:b/>
          <w:bCs/>
        </w:rPr>
        <w:t>1.</w:t>
      </w:r>
      <w:r>
        <w:rPr>
          <w:b/>
          <w:bCs/>
        </w:rPr>
        <w:tab/>
      </w:r>
      <w:r w:rsidR="00204F1D" w:rsidRPr="00AB091F">
        <w:rPr>
          <w:b/>
          <w:bCs/>
        </w:rPr>
        <w:t>Inappropriate use of SIMD data, contrary to Scottish Government guidance</w:t>
      </w:r>
    </w:p>
    <w:p w:rsidR="00203FA5" w:rsidRDefault="00203FA5"/>
    <w:p w:rsidR="00204F1D" w:rsidRDefault="00204F1D">
      <w:r>
        <w:t>This point is of less</w:t>
      </w:r>
      <w:r w:rsidR="00545342">
        <w:t xml:space="preserve"> direct</w:t>
      </w:r>
      <w:r>
        <w:t xml:space="preserve"> relevance, but highlights a troubling approach being taken to current applications for deferral.</w:t>
      </w:r>
    </w:p>
    <w:p w:rsidR="00204F1D" w:rsidRDefault="00204F1D"/>
    <w:p w:rsidR="00761F3B" w:rsidRDefault="00761F3B">
      <w:r>
        <w:t>At 3.1 the report says;</w:t>
      </w:r>
    </w:p>
    <w:p w:rsidR="00761F3B" w:rsidRDefault="00761F3B"/>
    <w:p w:rsidR="00761F3B" w:rsidRPr="00204F1D" w:rsidRDefault="00761F3B" w:rsidP="00761F3B">
      <w:pPr>
        <w:rPr>
          <w:i/>
          <w:iCs/>
        </w:rPr>
      </w:pPr>
      <w:r w:rsidRPr="00204F1D">
        <w:rPr>
          <w:i/>
          <w:iCs/>
        </w:rPr>
        <w:t>“</w:t>
      </w:r>
      <w:r w:rsidRPr="00761F3B">
        <w:rPr>
          <w:i/>
          <w:iCs/>
        </w:rPr>
        <w:t>The Council will continue to ensure that SIMD and other data underpinned by the GIRFEC agenda is applied to support children whose parents make an application for deferral</w:t>
      </w:r>
      <w:r w:rsidRPr="00204F1D">
        <w:rPr>
          <w:i/>
          <w:iCs/>
        </w:rPr>
        <w:t>.”</w:t>
      </w:r>
    </w:p>
    <w:p w:rsidR="00761F3B" w:rsidRDefault="00761F3B" w:rsidP="00761F3B"/>
    <w:p w:rsidR="00761F3B" w:rsidRDefault="00761F3B" w:rsidP="00761F3B">
      <w:r>
        <w:t xml:space="preserve">This is a misuse of SIMD; it should never be used to determine individual entitlement to services. As the Scottish Government’s statisticians </w:t>
      </w:r>
      <w:r w:rsidR="00204F1D">
        <w:t>advise in their guidance on SIMD</w:t>
      </w:r>
      <w:r>
        <w:t>, “</w:t>
      </w:r>
      <w:r w:rsidR="00C60472" w:rsidRPr="00C60472">
        <w:t>It is NOT appropriate for SIMD to be used for</w:t>
      </w:r>
      <w:r w:rsidR="00C60472">
        <w:t xml:space="preserve"> </w:t>
      </w:r>
      <w:r w:rsidRPr="00761F3B">
        <w:t>labelling individuals as deprived based on an area they live in</w:t>
      </w:r>
      <w:r w:rsidR="00C60472">
        <w:t>.”</w:t>
      </w:r>
    </w:p>
    <w:p w:rsidR="00761F3B" w:rsidRDefault="00761F3B" w:rsidP="00761F3B"/>
    <w:p w:rsidR="00F52951" w:rsidRDefault="00761F3B" w:rsidP="00761F3B">
      <w:r>
        <w:t xml:space="preserve">There are wealthy households within </w:t>
      </w:r>
      <w:proofErr w:type="spellStart"/>
      <w:r>
        <w:t>datazones</w:t>
      </w:r>
      <w:proofErr w:type="spellEnd"/>
      <w:r>
        <w:t xml:space="preserve"> with a very low score, and households in poverty </w:t>
      </w:r>
      <w:r w:rsidR="00C60472">
        <w:t xml:space="preserve">with complex needs </w:t>
      </w:r>
      <w:r>
        <w:t xml:space="preserve">within </w:t>
      </w:r>
      <w:proofErr w:type="spellStart"/>
      <w:r>
        <w:t>datazones</w:t>
      </w:r>
      <w:proofErr w:type="spellEnd"/>
      <w:r>
        <w:t xml:space="preserve"> with a very high score. SIMD is designed to be used to make policy choices at a community level, not at an individual or household level. </w:t>
      </w:r>
      <w:r w:rsidR="00C60472">
        <w:t xml:space="preserve">To use SIMD as a factor in decisions on deferral is a manifestly inappropriate use of </w:t>
      </w:r>
      <w:r w:rsidR="00F52951">
        <w:t>these data</w:t>
      </w:r>
      <w:r w:rsidR="00C60472">
        <w:t>, taking into consideration</w:t>
      </w:r>
      <w:r w:rsidR="00F52951">
        <w:t xml:space="preserve"> as it does</w:t>
      </w:r>
      <w:r w:rsidR="00C60472">
        <w:t xml:space="preserve"> the relative deprivation of neighbouring households when the deprivation level of the child’s household can easily and directly be established. </w:t>
      </w:r>
      <w:r w:rsidR="00F52951">
        <w:t>We would request that the criteria for determining an application for discretionary deferral be urgently reviewed.</w:t>
      </w:r>
    </w:p>
    <w:p w:rsidR="00F52951" w:rsidRDefault="00F52951" w:rsidP="00761F3B"/>
    <w:p w:rsidR="00761F3B" w:rsidRPr="00761F3B" w:rsidRDefault="00761F3B" w:rsidP="00761F3B">
      <w:r>
        <w:t>For guidance on this from those who create and manage SIMD, please see:</w:t>
      </w:r>
      <w:r w:rsidR="00C60472">
        <w:t xml:space="preserve"> </w:t>
      </w:r>
      <w:r w:rsidR="00C60472" w:rsidRPr="00C60472">
        <w:t>https://www2.gov.scot/Resource/0044/00447894.pdf</w:t>
      </w:r>
    </w:p>
    <w:p w:rsidR="00761F3B" w:rsidRDefault="00761F3B"/>
    <w:p w:rsidR="00AB091F" w:rsidRPr="00AB091F" w:rsidRDefault="00AB091F">
      <w:pPr>
        <w:rPr>
          <w:b/>
          <w:bCs/>
        </w:rPr>
      </w:pPr>
      <w:r w:rsidRPr="00AB091F">
        <w:rPr>
          <w:b/>
          <w:bCs/>
        </w:rPr>
        <w:t>2.</w:t>
      </w:r>
      <w:r w:rsidRPr="00AB091F">
        <w:rPr>
          <w:b/>
          <w:bCs/>
        </w:rPr>
        <w:tab/>
        <w:t>Democratic process</w:t>
      </w:r>
    </w:p>
    <w:p w:rsidR="00AB091F" w:rsidRDefault="00AB091F"/>
    <w:p w:rsidR="00AB091F" w:rsidRDefault="00AB091F">
      <w:r>
        <w:t xml:space="preserve">On 20 June 2019 </w:t>
      </w:r>
      <w:r w:rsidR="001D19BE">
        <w:t xml:space="preserve">the full Council </w:t>
      </w:r>
      <w:r>
        <w:t>approved a motion that</w:t>
      </w:r>
      <w:r w:rsidR="004D3E9E">
        <w:t xml:space="preserve"> included the following;</w:t>
      </w:r>
    </w:p>
    <w:p w:rsidR="00AB091F" w:rsidRDefault="00AB091F"/>
    <w:p w:rsidR="00AB091F" w:rsidRPr="004D3E9E" w:rsidRDefault="004D3E9E">
      <w:pPr>
        <w:rPr>
          <w:i/>
          <w:iCs/>
        </w:rPr>
      </w:pPr>
      <w:r w:rsidRPr="004D3E9E">
        <w:rPr>
          <w:i/>
          <w:iCs/>
        </w:rPr>
        <w:t>“…notes that Council does not offer a guaranteed right to nursery funding for deferred children born between September and December and agrees that, starting with applications for the 2020/21 school year, any application to defer a child’s P1 start whose birthday falls from September to February be granted automatically, with a further one year’s nursery funding provided. Agrees that the Council write to the Scottish Government to request that Ministers engage with the Council regarding the extra funding required within its 2020/21 budget to finance all additional nursery placements for children who have a legal right to defer the start of primary school under the terms of the Education Scotland Act (1980)”.</w:t>
      </w:r>
    </w:p>
    <w:p w:rsidR="00AB091F" w:rsidRDefault="00AB091F"/>
    <w:p w:rsidR="004D3E9E" w:rsidRDefault="00AB091F">
      <w:r>
        <w:t xml:space="preserve">To date, this motion has clearly not been implemented. </w:t>
      </w:r>
      <w:r w:rsidR="004D3E9E">
        <w:t xml:space="preserve">Indeed, at </w:t>
      </w:r>
      <w:r w:rsidR="004D3E9E" w:rsidRPr="004D3E9E">
        <w:t xml:space="preserve">2.4.2 </w:t>
      </w:r>
      <w:r w:rsidR="004D3E9E">
        <w:t>the report states;</w:t>
      </w:r>
    </w:p>
    <w:p w:rsidR="004D3E9E" w:rsidRDefault="004D3E9E"/>
    <w:p w:rsidR="00AB091F" w:rsidRPr="004D3E9E" w:rsidRDefault="004D3E9E">
      <w:pPr>
        <w:rPr>
          <w:i/>
          <w:iCs/>
        </w:rPr>
      </w:pPr>
      <w:r w:rsidRPr="004D3E9E">
        <w:rPr>
          <w:i/>
          <w:iCs/>
        </w:rPr>
        <w:t>“Should the decision be to implement the policy for 2020/21 to allow deferral of children born between mid-August and December, significant work would be required to revisit all current arrangements, applications and associated impacts as an immediate priority.”</w:t>
      </w:r>
    </w:p>
    <w:p w:rsidR="004D3E9E" w:rsidRDefault="004D3E9E"/>
    <w:p w:rsidR="004D3E9E" w:rsidRDefault="004D3E9E">
      <w:r>
        <w:t xml:space="preserve">From this it is clear that officials have not undertaken work to progress the council’s agreed policy. </w:t>
      </w:r>
    </w:p>
    <w:p w:rsidR="004D3E9E" w:rsidRDefault="004D3E9E"/>
    <w:p w:rsidR="004D3E9E" w:rsidRDefault="004D3E9E">
      <w:r>
        <w:t>In response to correspondence, we have been provided with two principal explanations for the failure to carry out the council’s agreed policy;</w:t>
      </w:r>
    </w:p>
    <w:p w:rsidR="004D3E9E" w:rsidRDefault="004D3E9E"/>
    <w:p w:rsidR="004D3E9E" w:rsidRDefault="004D3E9E">
      <w:r>
        <w:t xml:space="preserve">A) The need for a financial assessment. We have been directed to </w:t>
      </w:r>
      <w:r w:rsidRPr="004D3E9E">
        <w:t>Standing Order 31</w:t>
      </w:r>
      <w:r>
        <w:t>, which states;</w:t>
      </w:r>
    </w:p>
    <w:p w:rsidR="004D3E9E" w:rsidRDefault="004D3E9E"/>
    <w:p w:rsidR="004D3E9E" w:rsidRPr="004D3E9E" w:rsidRDefault="004D3E9E">
      <w:pPr>
        <w:rPr>
          <w:i/>
          <w:iCs/>
        </w:rPr>
      </w:pPr>
      <w:r w:rsidRPr="004D3E9E">
        <w:rPr>
          <w:i/>
          <w:iCs/>
        </w:rPr>
        <w:t>“Any Motion or Amendment, or a composite, shall be required to meet the criteria of Competency, Relevancy, Affordability and Achievability. Any Motion, Amendment or composite, which is unable to demonstrate Affordability by the date of the meeting shall be</w:t>
      </w:r>
      <w:r>
        <w:rPr>
          <w:i/>
          <w:iCs/>
        </w:rPr>
        <w:t xml:space="preserve"> </w:t>
      </w:r>
      <w:r w:rsidRPr="004D3E9E">
        <w:rPr>
          <w:i/>
          <w:iCs/>
        </w:rPr>
        <w:t>considered in principle and, if agreed, a feasibility study may be undertaken on the</w:t>
      </w:r>
      <w:r>
        <w:rPr>
          <w:i/>
          <w:iCs/>
        </w:rPr>
        <w:t xml:space="preserve"> </w:t>
      </w:r>
      <w:r w:rsidRPr="004D3E9E">
        <w:rPr>
          <w:i/>
          <w:iCs/>
        </w:rPr>
        <w:t>affordability element and thereafter, considered by the appropriate Committee for final</w:t>
      </w:r>
      <w:r>
        <w:rPr>
          <w:i/>
          <w:iCs/>
        </w:rPr>
        <w:t xml:space="preserve"> </w:t>
      </w:r>
      <w:r w:rsidRPr="004D3E9E">
        <w:rPr>
          <w:i/>
          <w:iCs/>
        </w:rPr>
        <w:t>decision, subject to matters which would be determined as a "C" paragraph.”</w:t>
      </w:r>
    </w:p>
    <w:p w:rsidR="004D3E9E" w:rsidRDefault="004D3E9E"/>
    <w:p w:rsidR="004D3E9E" w:rsidRDefault="004D3E9E">
      <w:r>
        <w:t xml:space="preserve">There is no requirement that such an assessment be conducted, only that a feasibility study </w:t>
      </w:r>
      <w:r w:rsidRPr="004D3E9E">
        <w:rPr>
          <w:i/>
          <w:iCs/>
        </w:rPr>
        <w:t>may</w:t>
      </w:r>
      <w:r>
        <w:t xml:space="preserve"> be undertaken. Without direction to this effect, officials ought to have continued with the agreed policy of the council.</w:t>
      </w:r>
    </w:p>
    <w:p w:rsidR="004D3E9E" w:rsidRDefault="004D3E9E"/>
    <w:p w:rsidR="00892D15" w:rsidRPr="00892D15" w:rsidRDefault="004D3E9E" w:rsidP="00892D15">
      <w:pPr>
        <w:rPr>
          <w:rFonts w:ascii="Times New Roman" w:eastAsia="Times New Roman" w:hAnsi="Times New Roman" w:cs="Times New Roman"/>
        </w:rPr>
      </w:pPr>
      <w:r>
        <w:t xml:space="preserve">B) </w:t>
      </w:r>
      <w:r w:rsidR="00892D15" w:rsidRPr="00892D15">
        <w:t>The 20 June 2019 motion was not conditional on additional funding from the Scottish Government. The motion states that the council agrees to extend deferral, and then the matter of writing to Scottish Ministers is in a separate sentence. There is manifestly no connection between the two.</w:t>
      </w:r>
    </w:p>
    <w:p w:rsidR="004D3E9E" w:rsidRDefault="004D3E9E"/>
    <w:p w:rsidR="004D3E9E" w:rsidRDefault="004D3E9E"/>
    <w:p w:rsidR="004D3E9E" w:rsidRDefault="004D3E9E"/>
    <w:p w:rsidR="004D3E9E" w:rsidRPr="004D3E9E" w:rsidRDefault="004D3E9E">
      <w:pPr>
        <w:rPr>
          <w:b/>
          <w:bCs/>
        </w:rPr>
      </w:pPr>
      <w:r w:rsidRPr="004D3E9E">
        <w:rPr>
          <w:b/>
          <w:bCs/>
        </w:rPr>
        <w:t>PART FOUR: CONCLUSION</w:t>
      </w:r>
    </w:p>
    <w:p w:rsidR="004D3E9E" w:rsidRDefault="004D3E9E"/>
    <w:p w:rsidR="004D3E9E" w:rsidRDefault="004D3E9E">
      <w:r>
        <w:t>The paper provided by officials is partial</w:t>
      </w:r>
      <w:r w:rsidR="00DF7130">
        <w:t xml:space="preserve"> and </w:t>
      </w:r>
      <w:r>
        <w:t>misleading</w:t>
      </w:r>
      <w:r w:rsidR="00DF7130">
        <w:t>. It confl</w:t>
      </w:r>
      <w:bookmarkStart w:id="0" w:name="_GoBack"/>
      <w:bookmarkEnd w:id="0"/>
      <w:r w:rsidR="00DF7130">
        <w:t>ates funding for places that are not relevant to the decision of 20 June 2019, adds unexplained multipliers and thoroughly exaggerates the additional cost. The educational evidence is wholly prejudiced and cherry-picked, not giving a considered view of the evidence on these issues.</w:t>
      </w:r>
    </w:p>
    <w:p w:rsidR="00DF7130" w:rsidRDefault="00DF7130"/>
    <w:p w:rsidR="00DF7130" w:rsidRDefault="00DF7130">
      <w:r>
        <w:t>As a result, Give Them Time asks North Lanarkshire Councillors to reject the report, direct officials to identify the true additional cost and, in the meantime, carry out their duties to implement the agreed policy of the council.</w:t>
      </w:r>
    </w:p>
    <w:p w:rsidR="004D3E9E" w:rsidRDefault="004D3E9E"/>
    <w:p w:rsidR="004D3E9E" w:rsidRDefault="004D3E9E"/>
    <w:sectPr w:rsidR="004D3E9E" w:rsidSect="00A7488C">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240A" w:rsidRDefault="005F240A" w:rsidP="00A7488C">
      <w:r>
        <w:separator/>
      </w:r>
    </w:p>
  </w:endnote>
  <w:endnote w:type="continuationSeparator" w:id="0">
    <w:p w:rsidR="005F240A" w:rsidRDefault="005F240A" w:rsidP="00A74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Body CS)">
    <w:panose1 w:val="020206030504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13644675"/>
      <w:docPartObj>
        <w:docPartGallery w:val="Page Numbers (Bottom of Page)"/>
        <w:docPartUnique/>
      </w:docPartObj>
    </w:sdtPr>
    <w:sdtEndPr>
      <w:rPr>
        <w:rStyle w:val="PageNumber"/>
      </w:rPr>
    </w:sdtEndPr>
    <w:sdtContent>
      <w:p w:rsidR="00A7488C" w:rsidRDefault="00A7488C" w:rsidP="004D03F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7488C" w:rsidRDefault="00A748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70905688"/>
      <w:docPartObj>
        <w:docPartGallery w:val="Page Numbers (Bottom of Page)"/>
        <w:docPartUnique/>
      </w:docPartObj>
    </w:sdtPr>
    <w:sdtEndPr>
      <w:rPr>
        <w:rStyle w:val="PageNumber"/>
      </w:rPr>
    </w:sdtEndPr>
    <w:sdtContent>
      <w:p w:rsidR="00A7488C" w:rsidRDefault="00A7488C" w:rsidP="004D03F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7488C" w:rsidRDefault="00A748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240A" w:rsidRDefault="005F240A" w:rsidP="00A7488C">
      <w:r>
        <w:separator/>
      </w:r>
    </w:p>
  </w:footnote>
  <w:footnote w:type="continuationSeparator" w:id="0">
    <w:p w:rsidR="005F240A" w:rsidRDefault="005F240A" w:rsidP="00A748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979DC"/>
    <w:multiLevelType w:val="multilevel"/>
    <w:tmpl w:val="84145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4B6699"/>
    <w:multiLevelType w:val="hybridMultilevel"/>
    <w:tmpl w:val="6EB46C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6147F4F"/>
    <w:multiLevelType w:val="hybridMultilevel"/>
    <w:tmpl w:val="BBA41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753BA0"/>
    <w:multiLevelType w:val="hybridMultilevel"/>
    <w:tmpl w:val="398C10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E61"/>
    <w:rsid w:val="00037B54"/>
    <w:rsid w:val="000F6F48"/>
    <w:rsid w:val="00196F86"/>
    <w:rsid w:val="001C3E61"/>
    <w:rsid w:val="001D19BE"/>
    <w:rsid w:val="00203FA5"/>
    <w:rsid w:val="00204F1D"/>
    <w:rsid w:val="002C1438"/>
    <w:rsid w:val="003B134B"/>
    <w:rsid w:val="003E3BBE"/>
    <w:rsid w:val="004D3E9E"/>
    <w:rsid w:val="00545342"/>
    <w:rsid w:val="005D73E0"/>
    <w:rsid w:val="005F240A"/>
    <w:rsid w:val="006A65C4"/>
    <w:rsid w:val="00727B9D"/>
    <w:rsid w:val="00761F3B"/>
    <w:rsid w:val="00856E6F"/>
    <w:rsid w:val="00892D15"/>
    <w:rsid w:val="008F5496"/>
    <w:rsid w:val="009253D4"/>
    <w:rsid w:val="0096217A"/>
    <w:rsid w:val="00964C18"/>
    <w:rsid w:val="00A31594"/>
    <w:rsid w:val="00A7488C"/>
    <w:rsid w:val="00AB091F"/>
    <w:rsid w:val="00AC1864"/>
    <w:rsid w:val="00B060A6"/>
    <w:rsid w:val="00C30123"/>
    <w:rsid w:val="00C60472"/>
    <w:rsid w:val="00D06DB8"/>
    <w:rsid w:val="00D34487"/>
    <w:rsid w:val="00DF7130"/>
    <w:rsid w:val="00F2453A"/>
    <w:rsid w:val="00F529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3866E"/>
  <w15:chartTrackingRefBased/>
  <w15:docId w15:val="{7EED2273-E779-6546-A201-9674A707E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04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0123"/>
    <w:pPr>
      <w:ind w:left="720"/>
      <w:contextualSpacing/>
    </w:pPr>
  </w:style>
  <w:style w:type="paragraph" w:styleId="Footer">
    <w:name w:val="footer"/>
    <w:basedOn w:val="Normal"/>
    <w:link w:val="FooterChar"/>
    <w:uiPriority w:val="99"/>
    <w:unhideWhenUsed/>
    <w:rsid w:val="00A7488C"/>
    <w:pPr>
      <w:tabs>
        <w:tab w:val="center" w:pos="4680"/>
        <w:tab w:val="right" w:pos="9360"/>
      </w:tabs>
    </w:pPr>
  </w:style>
  <w:style w:type="character" w:customStyle="1" w:styleId="FooterChar">
    <w:name w:val="Footer Char"/>
    <w:basedOn w:val="DefaultParagraphFont"/>
    <w:link w:val="Footer"/>
    <w:uiPriority w:val="99"/>
    <w:rsid w:val="00A7488C"/>
  </w:style>
  <w:style w:type="character" w:styleId="PageNumber">
    <w:name w:val="page number"/>
    <w:basedOn w:val="DefaultParagraphFont"/>
    <w:uiPriority w:val="99"/>
    <w:semiHidden/>
    <w:unhideWhenUsed/>
    <w:rsid w:val="00A74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70269">
      <w:bodyDiv w:val="1"/>
      <w:marLeft w:val="0"/>
      <w:marRight w:val="0"/>
      <w:marTop w:val="0"/>
      <w:marBottom w:val="0"/>
      <w:divBdr>
        <w:top w:val="none" w:sz="0" w:space="0" w:color="auto"/>
        <w:left w:val="none" w:sz="0" w:space="0" w:color="auto"/>
        <w:bottom w:val="none" w:sz="0" w:space="0" w:color="auto"/>
        <w:right w:val="none" w:sz="0" w:space="0" w:color="auto"/>
      </w:divBdr>
      <w:divsChild>
        <w:div w:id="1115322576">
          <w:marLeft w:val="0"/>
          <w:marRight w:val="0"/>
          <w:marTop w:val="0"/>
          <w:marBottom w:val="0"/>
          <w:divBdr>
            <w:top w:val="none" w:sz="0" w:space="0" w:color="auto"/>
            <w:left w:val="none" w:sz="0" w:space="0" w:color="auto"/>
            <w:bottom w:val="none" w:sz="0" w:space="0" w:color="auto"/>
            <w:right w:val="none" w:sz="0" w:space="0" w:color="auto"/>
          </w:divBdr>
          <w:divsChild>
            <w:div w:id="201482475">
              <w:marLeft w:val="0"/>
              <w:marRight w:val="0"/>
              <w:marTop w:val="0"/>
              <w:marBottom w:val="0"/>
              <w:divBdr>
                <w:top w:val="none" w:sz="0" w:space="0" w:color="auto"/>
                <w:left w:val="none" w:sz="0" w:space="0" w:color="auto"/>
                <w:bottom w:val="none" w:sz="0" w:space="0" w:color="auto"/>
                <w:right w:val="none" w:sz="0" w:space="0" w:color="auto"/>
              </w:divBdr>
              <w:divsChild>
                <w:div w:id="138984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64038">
      <w:bodyDiv w:val="1"/>
      <w:marLeft w:val="0"/>
      <w:marRight w:val="0"/>
      <w:marTop w:val="0"/>
      <w:marBottom w:val="0"/>
      <w:divBdr>
        <w:top w:val="none" w:sz="0" w:space="0" w:color="auto"/>
        <w:left w:val="none" w:sz="0" w:space="0" w:color="auto"/>
        <w:bottom w:val="none" w:sz="0" w:space="0" w:color="auto"/>
        <w:right w:val="none" w:sz="0" w:space="0" w:color="auto"/>
      </w:divBdr>
    </w:div>
    <w:div w:id="100809419">
      <w:bodyDiv w:val="1"/>
      <w:marLeft w:val="0"/>
      <w:marRight w:val="0"/>
      <w:marTop w:val="0"/>
      <w:marBottom w:val="0"/>
      <w:divBdr>
        <w:top w:val="none" w:sz="0" w:space="0" w:color="auto"/>
        <w:left w:val="none" w:sz="0" w:space="0" w:color="auto"/>
        <w:bottom w:val="none" w:sz="0" w:space="0" w:color="auto"/>
        <w:right w:val="none" w:sz="0" w:space="0" w:color="auto"/>
      </w:divBdr>
      <w:divsChild>
        <w:div w:id="1706367335">
          <w:marLeft w:val="0"/>
          <w:marRight w:val="0"/>
          <w:marTop w:val="0"/>
          <w:marBottom w:val="0"/>
          <w:divBdr>
            <w:top w:val="none" w:sz="0" w:space="0" w:color="auto"/>
            <w:left w:val="none" w:sz="0" w:space="0" w:color="auto"/>
            <w:bottom w:val="none" w:sz="0" w:space="0" w:color="auto"/>
            <w:right w:val="none" w:sz="0" w:space="0" w:color="auto"/>
          </w:divBdr>
          <w:divsChild>
            <w:div w:id="1337272245">
              <w:marLeft w:val="0"/>
              <w:marRight w:val="0"/>
              <w:marTop w:val="0"/>
              <w:marBottom w:val="0"/>
              <w:divBdr>
                <w:top w:val="none" w:sz="0" w:space="0" w:color="auto"/>
                <w:left w:val="none" w:sz="0" w:space="0" w:color="auto"/>
                <w:bottom w:val="none" w:sz="0" w:space="0" w:color="auto"/>
                <w:right w:val="none" w:sz="0" w:space="0" w:color="auto"/>
              </w:divBdr>
              <w:divsChild>
                <w:div w:id="165599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074265">
      <w:bodyDiv w:val="1"/>
      <w:marLeft w:val="0"/>
      <w:marRight w:val="0"/>
      <w:marTop w:val="0"/>
      <w:marBottom w:val="0"/>
      <w:divBdr>
        <w:top w:val="none" w:sz="0" w:space="0" w:color="auto"/>
        <w:left w:val="none" w:sz="0" w:space="0" w:color="auto"/>
        <w:bottom w:val="none" w:sz="0" w:space="0" w:color="auto"/>
        <w:right w:val="none" w:sz="0" w:space="0" w:color="auto"/>
      </w:divBdr>
    </w:div>
    <w:div w:id="1259826520">
      <w:bodyDiv w:val="1"/>
      <w:marLeft w:val="0"/>
      <w:marRight w:val="0"/>
      <w:marTop w:val="0"/>
      <w:marBottom w:val="0"/>
      <w:divBdr>
        <w:top w:val="none" w:sz="0" w:space="0" w:color="auto"/>
        <w:left w:val="none" w:sz="0" w:space="0" w:color="auto"/>
        <w:bottom w:val="none" w:sz="0" w:space="0" w:color="auto"/>
        <w:right w:val="none" w:sz="0" w:space="0" w:color="auto"/>
      </w:divBdr>
      <w:divsChild>
        <w:div w:id="761032894">
          <w:marLeft w:val="0"/>
          <w:marRight w:val="0"/>
          <w:marTop w:val="0"/>
          <w:marBottom w:val="0"/>
          <w:divBdr>
            <w:top w:val="none" w:sz="0" w:space="0" w:color="auto"/>
            <w:left w:val="none" w:sz="0" w:space="0" w:color="auto"/>
            <w:bottom w:val="none" w:sz="0" w:space="0" w:color="auto"/>
            <w:right w:val="none" w:sz="0" w:space="0" w:color="auto"/>
          </w:divBdr>
          <w:divsChild>
            <w:div w:id="1160384808">
              <w:marLeft w:val="0"/>
              <w:marRight w:val="0"/>
              <w:marTop w:val="0"/>
              <w:marBottom w:val="0"/>
              <w:divBdr>
                <w:top w:val="none" w:sz="0" w:space="0" w:color="auto"/>
                <w:left w:val="none" w:sz="0" w:space="0" w:color="auto"/>
                <w:bottom w:val="none" w:sz="0" w:space="0" w:color="auto"/>
                <w:right w:val="none" w:sz="0" w:space="0" w:color="auto"/>
              </w:divBdr>
              <w:divsChild>
                <w:div w:id="65781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513528">
      <w:bodyDiv w:val="1"/>
      <w:marLeft w:val="0"/>
      <w:marRight w:val="0"/>
      <w:marTop w:val="0"/>
      <w:marBottom w:val="0"/>
      <w:divBdr>
        <w:top w:val="none" w:sz="0" w:space="0" w:color="auto"/>
        <w:left w:val="none" w:sz="0" w:space="0" w:color="auto"/>
        <w:bottom w:val="none" w:sz="0" w:space="0" w:color="auto"/>
        <w:right w:val="none" w:sz="0" w:space="0" w:color="auto"/>
      </w:divBdr>
      <w:divsChild>
        <w:div w:id="104619704">
          <w:marLeft w:val="0"/>
          <w:marRight w:val="0"/>
          <w:marTop w:val="0"/>
          <w:marBottom w:val="0"/>
          <w:divBdr>
            <w:top w:val="none" w:sz="0" w:space="0" w:color="auto"/>
            <w:left w:val="none" w:sz="0" w:space="0" w:color="auto"/>
            <w:bottom w:val="none" w:sz="0" w:space="0" w:color="auto"/>
            <w:right w:val="none" w:sz="0" w:space="0" w:color="auto"/>
          </w:divBdr>
          <w:divsChild>
            <w:div w:id="2003585383">
              <w:marLeft w:val="0"/>
              <w:marRight w:val="0"/>
              <w:marTop w:val="0"/>
              <w:marBottom w:val="0"/>
              <w:divBdr>
                <w:top w:val="none" w:sz="0" w:space="0" w:color="auto"/>
                <w:left w:val="none" w:sz="0" w:space="0" w:color="auto"/>
                <w:bottom w:val="none" w:sz="0" w:space="0" w:color="auto"/>
                <w:right w:val="none" w:sz="0" w:space="0" w:color="auto"/>
              </w:divBdr>
              <w:divsChild>
                <w:div w:id="21444435">
                  <w:marLeft w:val="0"/>
                  <w:marRight w:val="0"/>
                  <w:marTop w:val="0"/>
                  <w:marBottom w:val="0"/>
                  <w:divBdr>
                    <w:top w:val="none" w:sz="0" w:space="0" w:color="auto"/>
                    <w:left w:val="none" w:sz="0" w:space="0" w:color="auto"/>
                    <w:bottom w:val="none" w:sz="0" w:space="0" w:color="auto"/>
                    <w:right w:val="none" w:sz="0" w:space="0" w:color="auto"/>
                  </w:divBdr>
                  <w:divsChild>
                    <w:div w:id="149972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133379">
      <w:bodyDiv w:val="1"/>
      <w:marLeft w:val="0"/>
      <w:marRight w:val="0"/>
      <w:marTop w:val="0"/>
      <w:marBottom w:val="0"/>
      <w:divBdr>
        <w:top w:val="none" w:sz="0" w:space="0" w:color="auto"/>
        <w:left w:val="none" w:sz="0" w:space="0" w:color="auto"/>
        <w:bottom w:val="none" w:sz="0" w:space="0" w:color="auto"/>
        <w:right w:val="none" w:sz="0" w:space="0" w:color="auto"/>
      </w:divBdr>
    </w:div>
    <w:div w:id="1863198856">
      <w:bodyDiv w:val="1"/>
      <w:marLeft w:val="0"/>
      <w:marRight w:val="0"/>
      <w:marTop w:val="0"/>
      <w:marBottom w:val="0"/>
      <w:divBdr>
        <w:top w:val="none" w:sz="0" w:space="0" w:color="auto"/>
        <w:left w:val="none" w:sz="0" w:space="0" w:color="auto"/>
        <w:bottom w:val="none" w:sz="0" w:space="0" w:color="auto"/>
        <w:right w:val="none" w:sz="0" w:space="0" w:color="auto"/>
      </w:divBdr>
    </w:div>
    <w:div w:id="2040273341">
      <w:bodyDiv w:val="1"/>
      <w:marLeft w:val="0"/>
      <w:marRight w:val="0"/>
      <w:marTop w:val="0"/>
      <w:marBottom w:val="0"/>
      <w:divBdr>
        <w:top w:val="none" w:sz="0" w:space="0" w:color="auto"/>
        <w:left w:val="none" w:sz="0" w:space="0" w:color="auto"/>
        <w:bottom w:val="none" w:sz="0" w:space="0" w:color="auto"/>
        <w:right w:val="none" w:sz="0" w:space="0" w:color="auto"/>
      </w:divBdr>
      <w:divsChild>
        <w:div w:id="1827821477">
          <w:marLeft w:val="0"/>
          <w:marRight w:val="0"/>
          <w:marTop w:val="0"/>
          <w:marBottom w:val="0"/>
          <w:divBdr>
            <w:top w:val="none" w:sz="0" w:space="0" w:color="auto"/>
            <w:left w:val="none" w:sz="0" w:space="0" w:color="auto"/>
            <w:bottom w:val="none" w:sz="0" w:space="0" w:color="auto"/>
            <w:right w:val="none" w:sz="0" w:space="0" w:color="auto"/>
          </w:divBdr>
          <w:divsChild>
            <w:div w:id="919214261">
              <w:marLeft w:val="0"/>
              <w:marRight w:val="0"/>
              <w:marTop w:val="0"/>
              <w:marBottom w:val="0"/>
              <w:divBdr>
                <w:top w:val="none" w:sz="0" w:space="0" w:color="auto"/>
                <w:left w:val="none" w:sz="0" w:space="0" w:color="auto"/>
                <w:bottom w:val="none" w:sz="0" w:space="0" w:color="auto"/>
                <w:right w:val="none" w:sz="0" w:space="0" w:color="auto"/>
              </w:divBdr>
              <w:divsChild>
                <w:div w:id="107454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933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2220</Words>
  <Characters>12656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14847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Give Them Time</dc:creator>
  <cp:keywords/>
  <dc:description/>
  <cp:lastModifiedBy>Microsoft Office User</cp:lastModifiedBy>
  <cp:revision>2</cp:revision>
  <dcterms:created xsi:type="dcterms:W3CDTF">2020-02-21T11:20:00Z</dcterms:created>
  <dcterms:modified xsi:type="dcterms:W3CDTF">2020-02-21T11:20:00Z</dcterms:modified>
  <cp:category/>
</cp:coreProperties>
</file>